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Минтранса России от 11.02.2022 N 41</w:t>
              <w:br/>
              <w:t xml:space="preserve">(ред. от 31.03.2025)</w:t>
              <w:br/>
              <w:t xml:space="preserve">"Об утверждении Порядка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w:t>
              <w:br/>
              <w:t xml:space="preserve">(Зарегистрировано в Минюсте России 25.02.2022 N 67459)</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24.09.2025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25 февраля 2022 г. N 67459</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ТРАНСПОРТА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11 февраля 2022 г. N 41</w:t>
      </w:r>
    </w:p>
    <w:p>
      <w:pPr>
        <w:pStyle w:val="2"/>
        <w:jc w:val="center"/>
      </w:pPr>
      <w:r>
        <w:rPr>
          <w:sz w:val="20"/>
        </w:rPr>
      </w:r>
    </w:p>
    <w:p>
      <w:pPr>
        <w:pStyle w:val="2"/>
        <w:jc w:val="center"/>
      </w:pPr>
      <w:r>
        <w:rPr>
          <w:sz w:val="20"/>
        </w:rPr>
        <w:t xml:space="preserve">ОБ УТВЕРЖДЕНИИ ПОРЯДКА</w:t>
      </w:r>
    </w:p>
    <w:p>
      <w:pPr>
        <w:pStyle w:val="2"/>
        <w:jc w:val="center"/>
      </w:pPr>
      <w:r>
        <w:rPr>
          <w:sz w:val="20"/>
        </w:rPr>
        <w:t xml:space="preserve">ПРОВЕДЕНИЯ ПРЕДВАРИТЕЛЬНЫХ (ПРИ ПОСТУПЛЕНИИ</w:t>
      </w:r>
    </w:p>
    <w:p>
      <w:pPr>
        <w:pStyle w:val="2"/>
        <w:jc w:val="center"/>
      </w:pPr>
      <w:r>
        <w:rPr>
          <w:sz w:val="20"/>
        </w:rPr>
        <w:t xml:space="preserve">НА РАБОТУ) И ПЕРИОДИЧЕСКИХ (В ТЕЧЕНИЕ ТРУДОВОЙ</w:t>
      </w:r>
    </w:p>
    <w:p>
      <w:pPr>
        <w:pStyle w:val="2"/>
        <w:jc w:val="center"/>
      </w:pPr>
      <w:r>
        <w:rPr>
          <w:sz w:val="20"/>
        </w:rPr>
        <w:t xml:space="preserve">ДЕЯТЕЛЬНОСТИ) МЕДИЦИНСКИХ ОСМОТРОВ, ВКЛЮЧАЮЩИХ В СЕБЯ</w:t>
      </w:r>
    </w:p>
    <w:p>
      <w:pPr>
        <w:pStyle w:val="2"/>
        <w:jc w:val="center"/>
      </w:pPr>
      <w:r>
        <w:rPr>
          <w:sz w:val="20"/>
        </w:rPr>
        <w:t xml:space="preserve">ХИМИКО-ТОКСИКОЛОГИЧЕСКИЕ ИССЛЕДОВАНИЯ НАЛИЧИЯ В ОРГАНИЗМЕ</w:t>
      </w:r>
    </w:p>
    <w:p>
      <w:pPr>
        <w:pStyle w:val="2"/>
        <w:jc w:val="center"/>
      </w:pPr>
      <w:r>
        <w:rPr>
          <w:sz w:val="20"/>
        </w:rPr>
        <w:t xml:space="preserve">ЧЕЛОВЕКА НАРКОТИЧЕСКИХ СРЕДСТВ, ПСИХОТРОПНЫХ ВЕЩЕСТВ</w:t>
      </w:r>
    </w:p>
    <w:p>
      <w:pPr>
        <w:pStyle w:val="2"/>
        <w:jc w:val="center"/>
      </w:pPr>
      <w:r>
        <w:rPr>
          <w:sz w:val="20"/>
        </w:rPr>
        <w:t xml:space="preserve">И ИХ МЕТАБОЛИТОВ, ЛИЦ ИЗ ЧИСЛА СПЕЦИАЛИСТОВ</w:t>
      </w:r>
    </w:p>
    <w:p>
      <w:pPr>
        <w:pStyle w:val="2"/>
        <w:jc w:val="center"/>
      </w:pPr>
      <w:r>
        <w:rPr>
          <w:sz w:val="20"/>
        </w:rPr>
        <w:t xml:space="preserve">АВИАЦИОННОГО ПЕРСОНАЛА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7"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color w:val="392c69"/>
              </w:rPr>
              <w:t xml:space="preserve"> Минтранса России от 31.03.2025 N 111)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8" w:tooltip="&quot;Воздушный кодекс Российской Федерации&quot; от 19.03.1997 N 60-ФЗ (ред. от 31.07.2025) {КонсультантПлюс}">
        <w:r>
          <w:rPr>
            <w:sz w:val="20"/>
            <w:color w:val="0000ff"/>
          </w:rPr>
          <w:t xml:space="preserve">пунктом 3.1 статьи 52</w:t>
        </w:r>
      </w:hyperlink>
      <w:r>
        <w:rPr>
          <w:sz w:val="20"/>
        </w:rPr>
        <w:t xml:space="preserve"> Воздушного кодекса Российской Федерации (Собрание законодательства Российской Федерации, 1997, N 12, ст. 1383; 2021, N 27, ст. 5159), </w:t>
      </w:r>
      <w:hyperlink w:history="0" r:id="rId9" w:tooltip="Постановление Правительства РФ от 30.07.2004 N 395 (ред. от 19.08.2025) &quot;Об утверждении Положения о Министерстве транспорта Российской Федерации&quot; {КонсультантПлюс}">
        <w:r>
          <w:rPr>
            <w:sz w:val="20"/>
            <w:color w:val="0000ff"/>
          </w:rPr>
          <w:t xml:space="preserve">пунктом 1</w:t>
        </w:r>
      </w:hyperlink>
      <w:r>
        <w:rPr>
          <w:sz w:val="20"/>
        </w:rPr>
        <w:t xml:space="preserve"> и </w:t>
      </w:r>
      <w:hyperlink w:history="0" r:id="rId10" w:tooltip="Постановление Правительства РФ от 30.07.2004 N 395 (ред. от 19.08.2025) &quot;Об утверждении Положения о Министерстве транспорта Российской Федерации&quot; {КонсультантПлюс}">
        <w:r>
          <w:rPr>
            <w:sz w:val="20"/>
            <w:color w:val="0000ff"/>
          </w:rPr>
          <w:t xml:space="preserve">подпунктом 5.2.53.8 пункта 5</w:t>
        </w:r>
      </w:hyperlink>
      <w:r>
        <w:rPr>
          <w:sz w:val="20"/>
        </w:rPr>
        <w:t xml:space="preserve"> Положения о Министерстве транспорта Российской Федерации, утвержденного постановлением Правительства Российской Федерации от 30 июля 2004 г. N 395 (Собрание законодательства Российской Федерации, 2004, N 32, ст. 3342; 2019, N 1, ст. 10; 2021, N 49, ст. 8278), приказываю:</w:t>
      </w:r>
    </w:p>
    <w:p>
      <w:pPr>
        <w:pStyle w:val="0"/>
        <w:spacing w:before="200" w:line-rule="auto"/>
        <w:ind w:firstLine="540"/>
        <w:jc w:val="both"/>
      </w:pPr>
      <w:r>
        <w:rPr>
          <w:sz w:val="20"/>
        </w:rPr>
        <w:t xml:space="preserve">1. Утвердить прилагаемый </w:t>
      </w:r>
      <w:hyperlink w:history="0" w:anchor="P35" w:tooltip="ПОРЯДОК">
        <w:r>
          <w:rPr>
            <w:sz w:val="20"/>
            <w:color w:val="0000ff"/>
          </w:rPr>
          <w:t xml:space="preserve">Порядок</w:t>
        </w:r>
      </w:hyperlink>
      <w:r>
        <w:rPr>
          <w:sz w:val="20"/>
        </w:rPr>
        <w:t xml:space="preserve">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w:t>
      </w:r>
    </w:p>
    <w:p>
      <w:pPr>
        <w:pStyle w:val="0"/>
        <w:spacing w:before="200" w:line-rule="auto"/>
        <w:ind w:firstLine="540"/>
        <w:jc w:val="both"/>
      </w:pPr>
      <w:r>
        <w:rPr>
          <w:sz w:val="20"/>
        </w:rPr>
        <w:t xml:space="preserve">2. Настоящий приказ вступает в силу с 1 сентября 2022 г. и действует до 1 сентября 2028 г.</w:t>
      </w:r>
    </w:p>
    <w:p>
      <w:pPr>
        <w:pStyle w:val="0"/>
        <w:jc w:val="both"/>
      </w:pPr>
      <w:r>
        <w:rPr>
          <w:sz w:val="20"/>
        </w:rPr>
      </w:r>
    </w:p>
    <w:p>
      <w:pPr>
        <w:pStyle w:val="0"/>
        <w:jc w:val="right"/>
      </w:pPr>
      <w:r>
        <w:rPr>
          <w:sz w:val="20"/>
        </w:rPr>
        <w:t xml:space="preserve">Министр</w:t>
      </w:r>
    </w:p>
    <w:p>
      <w:pPr>
        <w:pStyle w:val="0"/>
        <w:jc w:val="right"/>
      </w:pPr>
      <w:r>
        <w:rPr>
          <w:sz w:val="20"/>
        </w:rPr>
        <w:t xml:space="preserve">В.Г.САВЕЛЬЕВ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приказом Минтранса России</w:t>
      </w:r>
    </w:p>
    <w:p>
      <w:pPr>
        <w:pStyle w:val="0"/>
        <w:jc w:val="right"/>
      </w:pPr>
      <w:r>
        <w:rPr>
          <w:sz w:val="20"/>
        </w:rPr>
        <w:t xml:space="preserve">от 11 февраля 2022 г. N 41</w:t>
      </w:r>
    </w:p>
    <w:p>
      <w:pPr>
        <w:pStyle w:val="0"/>
        <w:jc w:val="both"/>
      </w:pPr>
      <w:r>
        <w:rPr>
          <w:sz w:val="20"/>
        </w:rPr>
      </w:r>
    </w:p>
    <w:bookmarkStart w:id="35" w:name="P35"/>
    <w:bookmarkEnd w:id="35"/>
    <w:p>
      <w:pPr>
        <w:pStyle w:val="2"/>
        <w:jc w:val="center"/>
      </w:pPr>
      <w:r>
        <w:rPr>
          <w:sz w:val="20"/>
        </w:rPr>
        <w:t xml:space="preserve">ПОРЯДОК</w:t>
      </w:r>
    </w:p>
    <w:p>
      <w:pPr>
        <w:pStyle w:val="2"/>
        <w:jc w:val="center"/>
      </w:pPr>
      <w:r>
        <w:rPr>
          <w:sz w:val="20"/>
        </w:rPr>
        <w:t xml:space="preserve">ПРОВЕДЕНИЯ ПРЕДВАРИТЕЛЬНЫХ (ПРИ ПОСТУПЛЕНИИ</w:t>
      </w:r>
    </w:p>
    <w:p>
      <w:pPr>
        <w:pStyle w:val="2"/>
        <w:jc w:val="center"/>
      </w:pPr>
      <w:r>
        <w:rPr>
          <w:sz w:val="20"/>
        </w:rPr>
        <w:t xml:space="preserve">НА РАБОТУ) И ПЕРИОДИЧЕСКИХ (В ТЕЧЕНИЕ ТРУДОВОЙ</w:t>
      </w:r>
    </w:p>
    <w:p>
      <w:pPr>
        <w:pStyle w:val="2"/>
        <w:jc w:val="center"/>
      </w:pPr>
      <w:r>
        <w:rPr>
          <w:sz w:val="20"/>
        </w:rPr>
        <w:t xml:space="preserve">ДЕЯТЕЛЬНОСТИ) МЕДИЦИНСКИХ ОСМОТРОВ, ВКЛЮЧАЮЩИХ В СЕБЯ</w:t>
      </w:r>
    </w:p>
    <w:p>
      <w:pPr>
        <w:pStyle w:val="2"/>
        <w:jc w:val="center"/>
      </w:pPr>
      <w:r>
        <w:rPr>
          <w:sz w:val="20"/>
        </w:rPr>
        <w:t xml:space="preserve">ХИМИКО-ТОКСИКОЛОГИЧЕСКИЕ ИССЛЕДОВАНИЯ НАЛИЧИЯ В ОРГАНИЗМЕ</w:t>
      </w:r>
    </w:p>
    <w:p>
      <w:pPr>
        <w:pStyle w:val="2"/>
        <w:jc w:val="center"/>
      </w:pPr>
      <w:r>
        <w:rPr>
          <w:sz w:val="20"/>
        </w:rPr>
        <w:t xml:space="preserve">ЧЕЛОВЕКА НАРКОТИЧЕСКИХ СРЕДСТВ, ПСИХОТРОПНЫХ ВЕЩЕСТВ</w:t>
      </w:r>
    </w:p>
    <w:p>
      <w:pPr>
        <w:pStyle w:val="2"/>
        <w:jc w:val="center"/>
      </w:pPr>
      <w:r>
        <w:rPr>
          <w:sz w:val="20"/>
        </w:rPr>
        <w:t xml:space="preserve">И ИХ МЕТАБОЛИТОВ, ЛИЦ ИЗ ЧИСЛА СПЕЦИАЛИСТОВ</w:t>
      </w:r>
    </w:p>
    <w:p>
      <w:pPr>
        <w:pStyle w:val="2"/>
        <w:jc w:val="center"/>
      </w:pPr>
      <w:r>
        <w:rPr>
          <w:sz w:val="20"/>
        </w:rPr>
        <w:t xml:space="preserve">АВИАЦИОННОГО ПЕРСОНАЛА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1"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color w:val="392c69"/>
              </w:rPr>
              <w:t xml:space="preserve"> Минтранса России от 31.03.2025 N 111)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Обязательные предварительные (при поступлении на работу) (далее - предварительные осмотры) и периодические (в течение трудовой деятельности) медицинские осмотры включают в себя химико-токсикологические исследования наличия в организме человека наркотических средств, психотропных веществ и их метаболитов (далее - ХТИ) и проводятся в целях определения соответствия состояния здоровья и годности к выполнению работ специалистами, включенными в </w:t>
      </w:r>
      <w:hyperlink w:history="0" r:id="rId12" w:tooltip="Приказ Минтранса России от 19.10.2022 N 419 (ред. от 23.04.2024) &quot;Об утверждении Перечня специалистов авиационного персонала гражданской авиации Российской Федерации&quot; (Зарегистрировано в Минюсте России 28.11.2022 N 71168) {КонсультантПлюс}">
        <w:r>
          <w:rPr>
            <w:sz w:val="20"/>
            <w:color w:val="0000ff"/>
          </w:rPr>
          <w:t xml:space="preserve">перечень</w:t>
        </w:r>
      </w:hyperlink>
      <w:r>
        <w:rPr>
          <w:sz w:val="20"/>
        </w:rPr>
        <w:t xml:space="preserve"> специалистов авиационного персонала гражданской авиации Российской Федерации &lt;1&gt; (далее соответственно - Перечень специалистов, специалисты авиационного персонала ГА).</w:t>
      </w:r>
    </w:p>
    <w:p>
      <w:pPr>
        <w:pStyle w:val="0"/>
        <w:jc w:val="both"/>
      </w:pPr>
      <w:r>
        <w:rPr>
          <w:sz w:val="20"/>
        </w:rPr>
        <w:t xml:space="preserve">(в ред. </w:t>
      </w:r>
      <w:hyperlink w:history="0" r:id="rId13"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14" w:tooltip="Приказ Минтранса России от 19.10.2022 N 419 (ред. от 23.04.2024) &quot;Об утверждении Перечня специалистов авиационного персонала гражданской авиации Российской Федерации&quot; (Зарегистрировано в Минюсте России 28.11.2022 N 71168) {КонсультантПлюс}">
        <w:r>
          <w:rPr>
            <w:sz w:val="20"/>
            <w:color w:val="0000ff"/>
          </w:rPr>
          <w:t xml:space="preserve">Приказ</w:t>
        </w:r>
      </w:hyperlink>
      <w:r>
        <w:rPr>
          <w:sz w:val="20"/>
        </w:rPr>
        <w:t xml:space="preserve"> Министерства транспорта Российской Федерации от 19 октября 2022 г. N 419 "Об утверждении Перечня специалистов авиационного персонала гражданской авиации Российской Федерации" (зарегистрирован Министерством юстиции Российской Федерации 28 ноября 2022 г., регистрационный N 71168) с изменениями, внесенными приказом Министерства транспорта Российской Федерации от 23 апреля 2024 г. N 143 (зарегистрирован Министерством юстиции Российской Федерации 16 мая 2024 г., регистрационный N 78178). В соответствии с </w:t>
      </w:r>
      <w:hyperlink w:history="0" r:id="rId15" w:tooltip="Приказ Минтранса России от 19.10.2022 N 419 (ред. от 23.04.2024) &quot;Об утверждении Перечня специалистов авиационного персонала гражданской авиации Российской Федерации&quot; (Зарегистрировано в Минюсте России 28.11.2022 N 71168) {КонсультантПлюс}">
        <w:r>
          <w:rPr>
            <w:sz w:val="20"/>
            <w:color w:val="0000ff"/>
          </w:rPr>
          <w:t xml:space="preserve">пунктом 3</w:t>
        </w:r>
      </w:hyperlink>
      <w:r>
        <w:rPr>
          <w:sz w:val="20"/>
        </w:rPr>
        <w:t xml:space="preserve"> приказа Министерства транспорта Российской Федерации от 19 октября 2022 г. N 419 данный акт действует до 1 марта 2029 г.</w:t>
      </w:r>
    </w:p>
    <w:p>
      <w:pPr>
        <w:pStyle w:val="0"/>
        <w:jc w:val="both"/>
      </w:pPr>
      <w:r>
        <w:rPr>
          <w:sz w:val="20"/>
        </w:rPr>
        <w:t xml:space="preserve">(сноска в ред. </w:t>
      </w:r>
      <w:hyperlink w:history="0" r:id="rId16"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p>
      <w:pPr>
        <w:pStyle w:val="0"/>
        <w:jc w:val="both"/>
      </w:pPr>
      <w:r>
        <w:rPr>
          <w:sz w:val="20"/>
        </w:rPr>
      </w:r>
    </w:p>
    <w:p>
      <w:pPr>
        <w:pStyle w:val="0"/>
        <w:ind w:firstLine="540"/>
        <w:jc w:val="both"/>
      </w:pPr>
      <w:r>
        <w:rPr>
          <w:sz w:val="20"/>
        </w:rPr>
        <w:t xml:space="preserve">2. Обязательные периодические (в течение трудовой деятельности) медицинские осмотры (далее - периодические осмотры) должны проводиться с периодичностью согласно </w:t>
      </w:r>
      <w:hyperlink w:history="0" w:anchor="P227" w:tooltip="ПЕРИОДИЧНОСТЬ">
        <w:r>
          <w:rPr>
            <w:sz w:val="20"/>
            <w:color w:val="0000ff"/>
          </w:rPr>
          <w:t xml:space="preserve">приложению N 1</w:t>
        </w:r>
      </w:hyperlink>
      <w:r>
        <w:rPr>
          <w:sz w:val="20"/>
        </w:rPr>
        <w:t xml:space="preserve"> к настоящему Порядку в целях динамического наблюдения за состоянием здоровья специалистов авиационного персонала ГА, своевременного выявления начальных форм профессиональных заболеваний, ранних признаков воздействия опасных и (или) вредных производственных факторов рабочей среды, трудового процесса на состояние здоровья специалистов авиационного персонала ГА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 выполняемых специалистами авиационного персонала ГА, согласно перечню медицинских противопоказаний, установленному в соответствии с </w:t>
      </w:r>
      <w:hyperlink w:history="0" r:id="rId17" w:tooltip="Федеральный закон от 21.11.2011 N 323-ФЗ (ред. от 23.07.2025) &quot;Об основах охраны здоровья граждан в Российской Федерации&quot; (с изм. и доп., вступ. в силу с 01.09.2025) {КонсультантПлюс}">
        <w:r>
          <w:rPr>
            <w:sz w:val="20"/>
            <w:color w:val="0000ff"/>
          </w:rPr>
          <w:t xml:space="preserve">частью 3 статьи 24</w:t>
        </w:r>
      </w:hyperlink>
      <w:r>
        <w:rPr>
          <w:sz w:val="20"/>
        </w:rPr>
        <w:t xml:space="preserve"> Федерального закона от 21 ноября 2011 г. N 323-ФЗ "Об основах охраны здоровья граждан в Российской Федерации".</w:t>
      </w:r>
    </w:p>
    <w:p>
      <w:pPr>
        <w:pStyle w:val="0"/>
        <w:jc w:val="both"/>
      </w:pPr>
      <w:r>
        <w:rPr>
          <w:sz w:val="20"/>
        </w:rPr>
        <w:t xml:space="preserve">(в ред. </w:t>
      </w:r>
      <w:hyperlink w:history="0" r:id="rId18"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p>
      <w:pPr>
        <w:pStyle w:val="0"/>
        <w:spacing w:before="200" w:line-rule="auto"/>
        <w:ind w:firstLine="540"/>
        <w:jc w:val="both"/>
      </w:pPr>
      <w:r>
        <w:rPr>
          <w:sz w:val="20"/>
        </w:rPr>
        <w:t xml:space="preserve">3. Предварительный и периодические осмотры проводятся медицинскими организациями или иными организациями, осуществляющими медицинскую деятельность, при наличии лицензии на осуществление медицинской деятельности, предусматривающей выполнение работ (услуг) по медицинским осмотрам (предварительным и периодическим) (далее - медицинские организации).</w:t>
      </w:r>
    </w:p>
    <w:p>
      <w:pPr>
        <w:pStyle w:val="0"/>
        <w:spacing w:before="200" w:line-rule="auto"/>
        <w:ind w:firstLine="540"/>
        <w:jc w:val="both"/>
      </w:pPr>
      <w:r>
        <w:rPr>
          <w:sz w:val="20"/>
        </w:rPr>
        <w:t xml:space="preserve">4. Для проведения предварительных и (или) периодических осмотров медицинской организацией формируются постоянно действующие врачебные комиссии &lt;2&gt;.</w:t>
      </w:r>
    </w:p>
    <w:p>
      <w:pPr>
        <w:pStyle w:val="0"/>
        <w:jc w:val="both"/>
      </w:pPr>
      <w:r>
        <w:rPr>
          <w:sz w:val="20"/>
        </w:rPr>
        <w:t xml:space="preserve">(в ред. </w:t>
      </w:r>
      <w:hyperlink w:history="0" r:id="rId19"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w:t>
      </w:r>
      <w:hyperlink w:history="0" r:id="rId20" w:tooltip="Приказ Минздравсоцразвития России от 05.05.2012 N 502н (ред. от 02.12.2013) &quot;Об утверждении порядка создания и деятельности врачебной комиссии медицинской организации&quot; (Зарегистрировано в Минюсте России 09.06.2012 N 24516) ------------ Утратил силу или отменен {КонсультантПлюс}">
        <w:r>
          <w:rPr>
            <w:sz w:val="20"/>
            <w:color w:val="0000ff"/>
          </w:rPr>
          <w:t xml:space="preserve">Приказ</w:t>
        </w:r>
      </w:hyperlink>
      <w:r>
        <w:rPr>
          <w:sz w:val="20"/>
        </w:rPr>
        <w:t xml:space="preserve"> Министерства здравоохранения и социального развития Российской Федерации от 5 мая 2012 г. N 502н "Об утверждении порядка создания и деятельности врачебной комиссии медицинской организации" (зарегистрирован Министерством юстиции Российской Федерации 9 июня 2012 г., регистрационный N 24516) с изменениями, внесенными приказом Министерства здравоохранения Российской Федерации от 2 декабря 2013 г. N 886н (зарегистрирован Министерством юстиции Российской Федерации 23 декабря 2012 г., регистрационный N 30714).</w:t>
      </w:r>
    </w:p>
    <w:p>
      <w:pPr>
        <w:pStyle w:val="0"/>
        <w:jc w:val="both"/>
      </w:pPr>
      <w:r>
        <w:rPr>
          <w:sz w:val="20"/>
        </w:rPr>
      </w:r>
    </w:p>
    <w:p>
      <w:pPr>
        <w:pStyle w:val="0"/>
        <w:ind w:firstLine="540"/>
        <w:jc w:val="both"/>
      </w:pPr>
      <w:r>
        <w:rPr>
          <w:sz w:val="20"/>
        </w:rPr>
        <w:t xml:space="preserve">5. Организация проведения предварительных и периодических осмотров специалистов авиационного персонала ГА возлагается на работодателя.</w:t>
      </w:r>
    </w:p>
    <w:p>
      <w:pPr>
        <w:pStyle w:val="0"/>
        <w:jc w:val="both"/>
      </w:pPr>
      <w:r>
        <w:rPr>
          <w:sz w:val="20"/>
        </w:rPr>
        <w:t xml:space="preserve">(в ред. </w:t>
      </w:r>
      <w:hyperlink w:history="0" r:id="rId21"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p>
      <w:pPr>
        <w:pStyle w:val="0"/>
        <w:spacing w:before="200" w:line-rule="auto"/>
        <w:ind w:firstLine="540"/>
        <w:jc w:val="both"/>
      </w:pPr>
      <w:r>
        <w:rPr>
          <w:sz w:val="20"/>
        </w:rPr>
        <w:t xml:space="preserve">Предварительные и периодические осмотры проводятся за счет средств работодателя &lt;3&gt;.</w:t>
      </w:r>
    </w:p>
    <w:p>
      <w:pPr>
        <w:pStyle w:val="0"/>
        <w:jc w:val="both"/>
      </w:pPr>
      <w:r>
        <w:rPr>
          <w:sz w:val="20"/>
        </w:rPr>
        <w:t xml:space="preserve">(в ред. </w:t>
      </w:r>
      <w:hyperlink w:history="0" r:id="rId22"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w:t>
      </w:r>
      <w:hyperlink w:history="0" r:id="rId23" w:tooltip="&quot;Трудовой кодекс Российской Федерации&quot; от 30.12.2001 N 197-ФЗ (ред. от 31.07.2025) (с изм. и доп., вступ. в силу с 01.09.2025) {КонсультантПлюс}">
        <w:r>
          <w:rPr>
            <w:sz w:val="20"/>
            <w:color w:val="0000ff"/>
          </w:rPr>
          <w:t xml:space="preserve">Часть девятая статьи 220</w:t>
        </w:r>
      </w:hyperlink>
      <w:r>
        <w:rPr>
          <w:sz w:val="20"/>
        </w:rPr>
        <w:t xml:space="preserve"> Трудового кодекса Российской Федерации.</w:t>
      </w:r>
    </w:p>
    <w:p>
      <w:pPr>
        <w:pStyle w:val="0"/>
        <w:jc w:val="both"/>
      </w:pPr>
      <w:r>
        <w:rPr>
          <w:sz w:val="20"/>
        </w:rPr>
        <w:t xml:space="preserve">(в ред. </w:t>
      </w:r>
      <w:hyperlink w:history="0" r:id="rId24"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p>
      <w:pPr>
        <w:pStyle w:val="0"/>
        <w:jc w:val="both"/>
      </w:pPr>
      <w:r>
        <w:rPr>
          <w:sz w:val="20"/>
        </w:rPr>
      </w:r>
    </w:p>
    <w:bookmarkStart w:id="70" w:name="P70"/>
    <w:bookmarkEnd w:id="70"/>
    <w:p>
      <w:pPr>
        <w:pStyle w:val="0"/>
        <w:ind w:firstLine="540"/>
        <w:jc w:val="both"/>
      </w:pPr>
      <w:r>
        <w:rPr>
          <w:sz w:val="20"/>
        </w:rPr>
        <w:t xml:space="preserve">6. Специалистам авиационного персонала ГА, входящим в состав летного экипажа пилотируемых гражданских воздушных судов, за исключением сверхлегких пилотируемых гражданских воздушных судов с массой конструкции 115 килограммов и менее &lt;4&gt;, специалистам авиационного персонала ГА, входящим в состав экипажа беспилотных гражданских воздушных судов, за исключением беспилотных гражданских воздушных судов с максимальной взлетной массой 30 килограммов и менее &lt;5&gt;, специалистам авиационного персонала ГА, осуществляющим управление воздушным движением &lt;5(1)&gt;, в целях определения соответствия состояния их здоровья и годности к выполнению работ предварительные и периодические осмотры проводятся в процессе обязательного медицинского освидетельствования во врачебно-летных экспертных комиссиях гражданской авиации в соответствии с </w:t>
      </w:r>
      <w:hyperlink w:history="0" r:id="rId25" w:tooltip="&quot;Воздушный кодекс Российской Федерации&quot; от 19.03.1997 N 60-ФЗ (ред. от 31.07.2025) {КонсультантПлюс}">
        <w:r>
          <w:rPr>
            <w:sz w:val="20"/>
            <w:color w:val="0000ff"/>
          </w:rPr>
          <w:t xml:space="preserve">частью 1 статьи 53.1</w:t>
        </w:r>
      </w:hyperlink>
      <w:r>
        <w:rPr>
          <w:sz w:val="20"/>
        </w:rPr>
        <w:t xml:space="preserve"> Воздушного кодекса Российской Федерации.</w:t>
      </w:r>
    </w:p>
    <w:p>
      <w:pPr>
        <w:pStyle w:val="0"/>
        <w:jc w:val="both"/>
      </w:pPr>
      <w:r>
        <w:rPr>
          <w:sz w:val="20"/>
        </w:rPr>
        <w:t xml:space="preserve">(в ред. </w:t>
      </w:r>
      <w:hyperlink w:history="0" r:id="rId26"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w:t>
      </w:r>
      <w:hyperlink w:history="0" r:id="rId27" w:tooltip="Приказ Минтранса России от 19.10.2022 N 419 (ред. от 23.04.2024) &quot;Об утверждении Перечня специалистов авиационного персонала гражданской авиации Российской Федерации&quot; (Зарегистрировано в Минюсте России 28.11.2022 N 71168) {КонсультантПлюс}">
        <w:r>
          <w:rPr>
            <w:sz w:val="20"/>
            <w:color w:val="0000ff"/>
          </w:rPr>
          <w:t xml:space="preserve">Пункт 1</w:t>
        </w:r>
      </w:hyperlink>
      <w:r>
        <w:rPr>
          <w:sz w:val="20"/>
        </w:rPr>
        <w:t xml:space="preserve"> Перечня специалистов.</w:t>
      </w:r>
    </w:p>
    <w:p>
      <w:pPr>
        <w:pStyle w:val="0"/>
        <w:jc w:val="both"/>
      </w:pPr>
      <w:r>
        <w:rPr>
          <w:sz w:val="20"/>
        </w:rPr>
        <w:t xml:space="preserve">(сноска в ред. </w:t>
      </w:r>
      <w:hyperlink w:history="0" r:id="rId28"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p>
      <w:pPr>
        <w:pStyle w:val="0"/>
        <w:spacing w:before="200" w:line-rule="auto"/>
        <w:ind w:firstLine="540"/>
        <w:jc w:val="both"/>
      </w:pPr>
      <w:r>
        <w:rPr>
          <w:sz w:val="20"/>
        </w:rPr>
        <w:t xml:space="preserve">&lt;5&gt; </w:t>
      </w:r>
      <w:hyperlink w:history="0" r:id="rId29" w:tooltip="Приказ Минтранса России от 19.10.2022 N 419 (ред. от 23.04.2024) &quot;Об утверждении Перечня специалистов авиационного персонала гражданской авиации Российской Федерации&quot; (Зарегистрировано в Минюсте России 28.11.2022 N 71168) {КонсультантПлюс}">
        <w:r>
          <w:rPr>
            <w:sz w:val="20"/>
            <w:color w:val="0000ff"/>
          </w:rPr>
          <w:t xml:space="preserve">Пункт 3</w:t>
        </w:r>
      </w:hyperlink>
      <w:r>
        <w:rPr>
          <w:sz w:val="20"/>
        </w:rPr>
        <w:t xml:space="preserve"> Перечня специалистов.</w:t>
      </w:r>
    </w:p>
    <w:p>
      <w:pPr>
        <w:pStyle w:val="0"/>
        <w:jc w:val="both"/>
      </w:pPr>
      <w:r>
        <w:rPr>
          <w:sz w:val="20"/>
        </w:rPr>
        <w:t xml:space="preserve">(сноска в ред. </w:t>
      </w:r>
      <w:hyperlink w:history="0" r:id="rId30"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p>
      <w:pPr>
        <w:pStyle w:val="0"/>
        <w:spacing w:before="200" w:line-rule="auto"/>
        <w:ind w:firstLine="540"/>
        <w:jc w:val="both"/>
      </w:pPr>
      <w:r>
        <w:rPr>
          <w:sz w:val="20"/>
        </w:rPr>
        <w:t xml:space="preserve">&lt;5(1)&gt; </w:t>
      </w:r>
      <w:hyperlink w:history="0" r:id="rId31" w:tooltip="Приказ Минтранса России от 19.10.2022 N 419 (ред. от 23.04.2024) &quot;Об утверждении Перечня специалистов авиационного персонала гражданской авиации Российской Федерации&quot; (Зарегистрировано в Минюсте России 28.11.2022 N 71168) {КонсультантПлюс}">
        <w:r>
          <w:rPr>
            <w:sz w:val="20"/>
            <w:color w:val="0000ff"/>
          </w:rPr>
          <w:t xml:space="preserve">Пункт 4</w:t>
        </w:r>
      </w:hyperlink>
      <w:r>
        <w:rPr>
          <w:sz w:val="20"/>
        </w:rPr>
        <w:t xml:space="preserve"> Перечня специалистов.</w:t>
      </w:r>
    </w:p>
    <w:p>
      <w:pPr>
        <w:pStyle w:val="0"/>
        <w:jc w:val="both"/>
      </w:pPr>
      <w:r>
        <w:rPr>
          <w:sz w:val="20"/>
        </w:rPr>
        <w:t xml:space="preserve">(сноска введена </w:t>
      </w:r>
      <w:hyperlink w:history="0" r:id="rId32"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Приказом</w:t>
        </w:r>
      </w:hyperlink>
      <w:r>
        <w:rPr>
          <w:sz w:val="20"/>
        </w:rPr>
        <w:t xml:space="preserve"> Минтранса России от 31.03.2025 N 111)</w:t>
      </w:r>
    </w:p>
    <w:p>
      <w:pPr>
        <w:pStyle w:val="0"/>
        <w:jc w:val="both"/>
      </w:pPr>
      <w:r>
        <w:rPr>
          <w:sz w:val="20"/>
        </w:rPr>
      </w:r>
    </w:p>
    <w:p>
      <w:pPr>
        <w:pStyle w:val="0"/>
        <w:ind w:firstLine="540"/>
        <w:jc w:val="both"/>
      </w:pPr>
      <w:r>
        <w:rPr>
          <w:sz w:val="20"/>
        </w:rPr>
        <w:t xml:space="preserve">Специалисты из числа авиационного персонала ГА, не подлежащие медицинскому освидетельствованию, должны проходить предварительные и периодические осмотры в сроки согласно </w:t>
      </w:r>
      <w:hyperlink w:history="0" w:anchor="P227" w:tooltip="ПЕРИОДИЧНОСТЬ">
        <w:r>
          <w:rPr>
            <w:sz w:val="20"/>
            <w:color w:val="0000ff"/>
          </w:rPr>
          <w:t xml:space="preserve">приложению N 1</w:t>
        </w:r>
      </w:hyperlink>
      <w:r>
        <w:rPr>
          <w:sz w:val="20"/>
        </w:rPr>
        <w:t xml:space="preserve"> к настоящему Порядку, в медицинских организациях любой формы собственности, имеющих лицензию &lt;6&gt; на осуществление медицинской деятельности, предусматривающую выполнение работ (услуг) по медицинским осмотрам (предварительным, периодическим) и экспертизе профессиональной пригодности.</w:t>
      </w:r>
    </w:p>
    <w:p>
      <w:pPr>
        <w:pStyle w:val="0"/>
        <w:jc w:val="both"/>
      </w:pPr>
      <w:r>
        <w:rPr>
          <w:sz w:val="20"/>
        </w:rPr>
        <w:t xml:space="preserve">(в ред. </w:t>
      </w:r>
      <w:hyperlink w:history="0" r:id="rId33"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w:t>
      </w:r>
      <w:hyperlink w:history="0" r:id="rId34" w:tooltip="Федеральный закон от 04.05.2011 N 99-ФЗ (ред. от 23.05.2025) &quot;О лицензировании отдельных видов деятельности&quot; {КонсультантПлюс}">
        <w:r>
          <w:rPr>
            <w:sz w:val="20"/>
            <w:color w:val="0000ff"/>
          </w:rPr>
          <w:t xml:space="preserve">Пункт 46 статьи 12</w:t>
        </w:r>
      </w:hyperlink>
      <w:r>
        <w:rPr>
          <w:sz w:val="20"/>
        </w:rPr>
        <w:t xml:space="preserve"> Федерального закона от 4 мая 2011 г. N 99-ФЗ "О лицензировании отдельных видов деятельности".</w:t>
      </w:r>
    </w:p>
    <w:p>
      <w:pPr>
        <w:pStyle w:val="0"/>
        <w:jc w:val="both"/>
      </w:pPr>
      <w:r>
        <w:rPr>
          <w:sz w:val="20"/>
        </w:rPr>
        <w:t xml:space="preserve">(в ред. </w:t>
      </w:r>
      <w:hyperlink w:history="0" r:id="rId35"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p>
      <w:pPr>
        <w:pStyle w:val="0"/>
        <w:jc w:val="both"/>
      </w:pPr>
      <w:r>
        <w:rPr>
          <w:sz w:val="20"/>
        </w:rPr>
      </w:r>
    </w:p>
    <w:bookmarkStart w:id="86" w:name="P86"/>
    <w:bookmarkEnd w:id="86"/>
    <w:p>
      <w:pPr>
        <w:pStyle w:val="0"/>
        <w:ind w:firstLine="540"/>
        <w:jc w:val="both"/>
      </w:pPr>
      <w:r>
        <w:rPr>
          <w:sz w:val="20"/>
        </w:rPr>
        <w:t xml:space="preserve">7. При проведении предварительного или периодического осмотра лица, претендующего на замещение должности специалиста из числа авиационного персонала ГА, должны учитываться результаты ранее проведенных (не позднее 12 месяцев) предварительного или периодического осмотра, диспансеризации, за исключением случаев выявления у специалистов из числа авиационного персонала ГА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 иных медицинских осмотров и обследований, подтвержденных медицинскими документами, в том числе полученных путем электронного обмена между медицинскими организациями.</w:t>
      </w:r>
    </w:p>
    <w:p>
      <w:pPr>
        <w:pStyle w:val="0"/>
        <w:jc w:val="both"/>
      </w:pPr>
      <w:r>
        <w:rPr>
          <w:sz w:val="20"/>
        </w:rPr>
        <w:t xml:space="preserve">(в ред. </w:t>
      </w:r>
      <w:hyperlink w:history="0" r:id="rId36"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p>
      <w:pPr>
        <w:pStyle w:val="0"/>
        <w:spacing w:before="200" w:line-rule="auto"/>
        <w:ind w:firstLine="540"/>
        <w:jc w:val="both"/>
      </w:pPr>
      <w:r>
        <w:rPr>
          <w:sz w:val="20"/>
        </w:rPr>
        <w:t xml:space="preserve">8. В случае выявления у специалиста из числа авиационного персонала ГА, являющегося владельцем оружия, при проведении предварительного или периодического осмотра заболеваний, при наличии которых противопоказано владение оружием, медицинская организация уведомляет об этом владельца оружия и оформить сообщение о наличии оснований для внеочередного медицинского освидетельствования на наличие медицинских противопоказаний к владению оружием и об аннулировании действующего медицинского заключения об отсутствии медицинских противопоказаний к владению оружием (при его наличии). Указанное сообщение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размещается в федеральном реестре документов, содержащем сведения о результатах медицинского освидетельствования, который ведется в единой государственной информационной системе в сфере здравоохранения &lt;7&gt;, передаете в федеральный орган исполнительной власти, уполномоченный в сфере оборота оружия.</w:t>
      </w:r>
    </w:p>
    <w:p>
      <w:pPr>
        <w:pStyle w:val="0"/>
        <w:jc w:val="both"/>
      </w:pPr>
      <w:r>
        <w:rPr>
          <w:sz w:val="20"/>
        </w:rPr>
        <w:t xml:space="preserve">(в ред. </w:t>
      </w:r>
      <w:hyperlink w:history="0" r:id="rId37"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w:t>
      </w:r>
      <w:hyperlink w:history="0" r:id="rId38" w:tooltip="Федеральный закон от 13.12.1996 N 150-ФЗ (ред. от 31.07.2025) &quot;Об оружии&quot; (с изм. и доп., вступ. в силу с 01.09.2025) {КонсультантПлюс}">
        <w:r>
          <w:rPr>
            <w:sz w:val="20"/>
            <w:color w:val="0000ff"/>
          </w:rPr>
          <w:t xml:space="preserve">Часть девятая статьи 6.1</w:t>
        </w:r>
      </w:hyperlink>
      <w:r>
        <w:rPr>
          <w:sz w:val="20"/>
        </w:rPr>
        <w:t xml:space="preserve"> Федерального закона от 13 декабря 1996 г. N 150-ФЗ "Об оружии".</w:t>
      </w:r>
    </w:p>
    <w:p>
      <w:pPr>
        <w:pStyle w:val="0"/>
        <w:jc w:val="both"/>
      </w:pPr>
      <w:r>
        <w:rPr>
          <w:sz w:val="20"/>
        </w:rPr>
        <w:t xml:space="preserve">(в ред. </w:t>
      </w:r>
      <w:hyperlink w:history="0" r:id="rId39"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p>
      <w:pPr>
        <w:pStyle w:val="0"/>
        <w:jc w:val="both"/>
      </w:pPr>
      <w:r>
        <w:rPr>
          <w:sz w:val="20"/>
        </w:rPr>
      </w:r>
    </w:p>
    <w:p>
      <w:pPr>
        <w:pStyle w:val="2"/>
        <w:outlineLvl w:val="1"/>
        <w:jc w:val="center"/>
      </w:pPr>
      <w:r>
        <w:rPr>
          <w:sz w:val="20"/>
        </w:rPr>
        <w:t xml:space="preserve">II. Проведение предварительных осмотров</w:t>
      </w:r>
    </w:p>
    <w:p>
      <w:pPr>
        <w:pStyle w:val="0"/>
        <w:jc w:val="both"/>
      </w:pPr>
      <w:r>
        <w:rPr>
          <w:sz w:val="20"/>
        </w:rPr>
      </w:r>
    </w:p>
    <w:p>
      <w:pPr>
        <w:pStyle w:val="0"/>
        <w:ind w:firstLine="540"/>
        <w:jc w:val="both"/>
      </w:pPr>
      <w:r>
        <w:rPr>
          <w:sz w:val="20"/>
        </w:rPr>
        <w:t xml:space="preserve">9. Предварительные осмотры проводятся при поступлении на работу на основании направления на обязательный медицинский осмотр (предварительный, периодический) (далее - направление), выданного специалисту авиационного персонала ГА работодателем (его уполномоченным представителем). Рекомендуемый образец направления приведен в </w:t>
      </w:r>
      <w:hyperlink w:history="0" w:anchor="P304" w:tooltip="Направление">
        <w:r>
          <w:rPr>
            <w:sz w:val="20"/>
            <w:color w:val="0000ff"/>
          </w:rPr>
          <w:t xml:space="preserve">приложении N 2</w:t>
        </w:r>
      </w:hyperlink>
      <w:r>
        <w:rPr>
          <w:sz w:val="20"/>
        </w:rPr>
        <w:t xml:space="preserve"> к настоящему Порядку.</w:t>
      </w:r>
    </w:p>
    <w:p>
      <w:pPr>
        <w:pStyle w:val="0"/>
        <w:jc w:val="both"/>
      </w:pPr>
      <w:r>
        <w:rPr>
          <w:sz w:val="20"/>
        </w:rPr>
        <w:t xml:space="preserve">(в ред. </w:t>
      </w:r>
      <w:hyperlink w:history="0" r:id="rId40"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p>
      <w:pPr>
        <w:pStyle w:val="0"/>
        <w:spacing w:before="200" w:line-rule="auto"/>
        <w:ind w:firstLine="540"/>
        <w:jc w:val="both"/>
      </w:pPr>
      <w:r>
        <w:rPr>
          <w:sz w:val="20"/>
        </w:rPr>
        <w:t xml:space="preserve">Направление подписывается уполномоченным представителем работодателя с указанием его должности, фамилии и инициалов имени и отчества (при наличии).</w:t>
      </w:r>
    </w:p>
    <w:p>
      <w:pPr>
        <w:pStyle w:val="0"/>
        <w:jc w:val="both"/>
      </w:pPr>
      <w:r>
        <w:rPr>
          <w:sz w:val="20"/>
        </w:rPr>
        <w:t xml:space="preserve">(в ред. </w:t>
      </w:r>
      <w:hyperlink w:history="0" r:id="rId41"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p>
      <w:pPr>
        <w:pStyle w:val="0"/>
        <w:spacing w:before="200" w:line-rule="auto"/>
        <w:ind w:firstLine="540"/>
        <w:jc w:val="both"/>
      </w:pPr>
      <w:r>
        <w:rPr>
          <w:sz w:val="20"/>
        </w:rPr>
        <w:t xml:space="preserve">Направление выдается лицу, поступающему на работу, под подпись.</w:t>
      </w:r>
    </w:p>
    <w:p>
      <w:pPr>
        <w:pStyle w:val="0"/>
        <w:spacing w:before="200" w:line-rule="auto"/>
        <w:ind w:firstLine="540"/>
        <w:jc w:val="both"/>
      </w:pPr>
      <w:r>
        <w:rPr>
          <w:sz w:val="20"/>
        </w:rPr>
        <w:t xml:space="preserve">Направление может быть сформировано в электронном виде с использованием электронных подписей работодателя и лица, поступающего на работу.</w:t>
      </w:r>
    </w:p>
    <w:p>
      <w:pPr>
        <w:pStyle w:val="0"/>
        <w:spacing w:before="200" w:line-rule="auto"/>
        <w:ind w:firstLine="540"/>
        <w:jc w:val="both"/>
      </w:pPr>
      <w:r>
        <w:rPr>
          <w:sz w:val="20"/>
        </w:rPr>
        <w:t xml:space="preserve">При одновременном прохождении специалистом авиационного персонала ГА предварительных или периодических осмотров, предусмотренных </w:t>
      </w:r>
      <w:hyperlink w:history="0" r:id="rId42" w:tooltip="&quot;Трудовой кодекс Российской Федерации&quot; от 30.12.2001 N 197-ФЗ (ред. от 31.07.2025) (с изм. и доп., вступ. в силу с 01.09.2025) {КонсультантПлюс}">
        <w:r>
          <w:rPr>
            <w:sz w:val="20"/>
            <w:color w:val="0000ff"/>
          </w:rPr>
          <w:t xml:space="preserve">частью четвертой статьи 220</w:t>
        </w:r>
      </w:hyperlink>
      <w:r>
        <w:rPr>
          <w:sz w:val="20"/>
        </w:rPr>
        <w:t xml:space="preserve"> Трудового кодекса Российской Федерации и настоящим Порядком, работнику выдается одно направление.</w:t>
      </w:r>
    </w:p>
    <w:p>
      <w:pPr>
        <w:pStyle w:val="0"/>
        <w:jc w:val="both"/>
      </w:pPr>
      <w:r>
        <w:rPr>
          <w:sz w:val="20"/>
        </w:rPr>
        <w:t xml:space="preserve">(абзац введен </w:t>
      </w:r>
      <w:hyperlink w:history="0" r:id="rId43"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Приказом</w:t>
        </w:r>
      </w:hyperlink>
      <w:r>
        <w:rPr>
          <w:sz w:val="20"/>
        </w:rPr>
        <w:t xml:space="preserve"> Минтранса России от 31.03.2025 N 111)</w:t>
      </w:r>
    </w:p>
    <w:p>
      <w:pPr>
        <w:pStyle w:val="0"/>
        <w:spacing w:before="200" w:line-rule="auto"/>
        <w:ind w:firstLine="540"/>
        <w:jc w:val="both"/>
      </w:pPr>
      <w:r>
        <w:rPr>
          <w:sz w:val="20"/>
        </w:rPr>
        <w:t xml:space="preserve">10. Работодатель обеспечивают учет выданных направлений, в том числе в форме электронного документа.</w:t>
      </w:r>
    </w:p>
    <w:p>
      <w:pPr>
        <w:pStyle w:val="0"/>
        <w:spacing w:before="200" w:line-rule="auto"/>
        <w:ind w:firstLine="540"/>
        <w:jc w:val="both"/>
      </w:pPr>
      <w:r>
        <w:rPr>
          <w:sz w:val="20"/>
        </w:rPr>
        <w:t xml:space="preserve">11. Работодатель должен составить и утвердить перечень лиц из числа специалистов авиационного персонала ГА, подлежащих периодическим медицинским осмотрам. Рекомендуемый образец перечня лиц из числа специалистов авиационного персонала ГА, подлежащих обязательным предварительным медицинским осмотрам, приведен в </w:t>
      </w:r>
      <w:hyperlink w:history="0" w:anchor="P354" w:tooltip="                               Перечень лиц">
        <w:r>
          <w:rPr>
            <w:sz w:val="20"/>
            <w:color w:val="0000ff"/>
          </w:rPr>
          <w:t xml:space="preserve">приложении N 3</w:t>
        </w:r>
      </w:hyperlink>
      <w:r>
        <w:rPr>
          <w:sz w:val="20"/>
        </w:rPr>
        <w:t xml:space="preserve"> к настоящему Порядку.</w:t>
      </w:r>
    </w:p>
    <w:p>
      <w:pPr>
        <w:pStyle w:val="0"/>
        <w:jc w:val="both"/>
      </w:pPr>
      <w:r>
        <w:rPr>
          <w:sz w:val="20"/>
        </w:rPr>
        <w:t xml:space="preserve">(в ред. </w:t>
      </w:r>
      <w:hyperlink w:history="0" r:id="rId44"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bookmarkStart w:id="107" w:name="P107"/>
    <w:bookmarkEnd w:id="107"/>
    <w:p>
      <w:pPr>
        <w:pStyle w:val="0"/>
        <w:spacing w:before="200" w:line-rule="auto"/>
        <w:ind w:firstLine="540"/>
        <w:jc w:val="both"/>
      </w:pPr>
      <w:r>
        <w:rPr>
          <w:sz w:val="20"/>
        </w:rPr>
        <w:t xml:space="preserve">12. Для прохождения предварительного осмотра лицо, претендующее на замещение должности специалиста из числа авиационного персонала ГА, представляет в медицинскую организацию, в которой проводится предварительный осмотр, следующие документы:</w:t>
      </w:r>
    </w:p>
    <w:p>
      <w:pPr>
        <w:pStyle w:val="0"/>
        <w:spacing w:before="200" w:line-rule="auto"/>
        <w:ind w:firstLine="540"/>
        <w:jc w:val="both"/>
      </w:pPr>
      <w:r>
        <w:rPr>
          <w:sz w:val="20"/>
        </w:rPr>
        <w:t xml:space="preserve">направление работодателя;</w:t>
      </w:r>
    </w:p>
    <w:p>
      <w:pPr>
        <w:pStyle w:val="0"/>
        <w:spacing w:before="200" w:line-rule="auto"/>
        <w:ind w:firstLine="540"/>
        <w:jc w:val="both"/>
      </w:pPr>
      <w:r>
        <w:rPr>
          <w:sz w:val="20"/>
        </w:rPr>
        <w:t xml:space="preserve">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pPr>
        <w:pStyle w:val="0"/>
        <w:spacing w:before="200" w:line-rule="auto"/>
        <w:ind w:firstLine="540"/>
        <w:jc w:val="both"/>
      </w:pPr>
      <w:r>
        <w:rPr>
          <w:sz w:val="20"/>
        </w:rPr>
        <w:t xml:space="preserve">паспорт (или иной документ, удостоверяющий личность);</w:t>
      </w:r>
    </w:p>
    <w:p>
      <w:pPr>
        <w:pStyle w:val="0"/>
        <w:spacing w:before="200" w:line-rule="auto"/>
        <w:ind w:firstLine="540"/>
        <w:jc w:val="both"/>
      </w:pPr>
      <w:r>
        <w:rPr>
          <w:sz w:val="20"/>
        </w:rPr>
        <w:t xml:space="preserve">решение врачебной комиссии, проводившей обязательное психиатрическое освидетельствование &lt;8&gt; (в случаях, предусмотренных законодательством Российской Федерации);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&lt;8&gt; </w:t>
      </w:r>
      <w:hyperlink w:history="0" r:id="rId45" w:tooltip="&quot;Трудовой кодекс Российской Федерации&quot; от 30.12.2001 N 197-ФЗ (ред. от 31.07.2025) (с изм. и доп., вступ. в силу с 01.09.2025) {КонсультантПлюс}">
        <w:r>
          <w:rPr>
            <w:sz w:val="20"/>
            <w:color w:val="0000ff"/>
          </w:rPr>
          <w:t xml:space="preserve">Часть восьмая статьи 220</w:t>
        </w:r>
      </w:hyperlink>
      <w:r>
        <w:rPr>
          <w:sz w:val="20"/>
        </w:rPr>
        <w:t xml:space="preserve"> Трудового кодекса Российской Федерации.</w:t>
      </w:r>
    </w:p>
    <w:p>
      <w:pPr>
        <w:pStyle w:val="0"/>
        <w:jc w:val="both"/>
      </w:pPr>
      <w:r>
        <w:rPr>
          <w:sz w:val="20"/>
        </w:rPr>
        <w:t xml:space="preserve">(в ред. </w:t>
      </w:r>
      <w:hyperlink w:history="0" r:id="rId46"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p>
      <w:pPr>
        <w:pStyle w:val="0"/>
        <w:jc w:val="both"/>
      </w:pPr>
      <w:r>
        <w:rPr>
          <w:sz w:val="20"/>
        </w:rPr>
      </w:r>
    </w:p>
    <w:p>
      <w:pPr>
        <w:pStyle w:val="0"/>
        <w:ind w:firstLine="540"/>
        <w:jc w:val="both"/>
      </w:pPr>
      <w:r>
        <w:rPr>
          <w:sz w:val="20"/>
        </w:rPr>
        <w:t xml:space="preserve">полис обязательного и (или) добровольного медицинского страхования.</w:t>
      </w:r>
    </w:p>
    <w:bookmarkStart w:id="117" w:name="P117"/>
    <w:bookmarkEnd w:id="117"/>
    <w:p>
      <w:pPr>
        <w:pStyle w:val="0"/>
        <w:spacing w:before="200" w:line-rule="auto"/>
        <w:ind w:firstLine="540"/>
        <w:jc w:val="both"/>
      </w:pPr>
      <w:r>
        <w:rPr>
          <w:sz w:val="20"/>
        </w:rPr>
        <w:t xml:space="preserve">13. При проведении предварительных осмотров специалисты авиационного персонала ГА проходят (за исключением осмотров и исследований, результаты которых учтены в соответствии с </w:t>
      </w:r>
      <w:hyperlink w:history="0" w:anchor="P86" w:tooltip="7. При проведении предварительного или периодического осмотра лица, претендующего на замещение должности специалиста из числа авиационного персонала ГА, должны учитываться результаты ранее проведенных (не позднее 12 месяцев) предварительного или периодического осмотра, диспансеризации, за исключением случаев выявления у специалистов из числа авиационного персонала ГА симптомов и синдромов заболеваний, свидетельствующих о наличии медицинских показаний для повторного проведения исследований либо иных медиц...">
        <w:r>
          <w:rPr>
            <w:sz w:val="20"/>
            <w:color w:val="0000ff"/>
          </w:rPr>
          <w:t xml:space="preserve">пунктом 7</w:t>
        </w:r>
      </w:hyperlink>
      <w:r>
        <w:rPr>
          <w:sz w:val="20"/>
        </w:rPr>
        <w:t xml:space="preserve"> настоящего Порядка):</w:t>
      </w:r>
    </w:p>
    <w:p>
      <w:pPr>
        <w:pStyle w:val="0"/>
        <w:spacing w:before="200" w:line-rule="auto"/>
        <w:ind w:firstLine="540"/>
        <w:jc w:val="both"/>
      </w:pPr>
      <w:r>
        <w:rPr>
          <w:sz w:val="20"/>
        </w:rPr>
        <w:t xml:space="preserve">1) анкетирование в целях сбора анамнеза, выявления отягощенной наследственности, жалоб, симптомов, характерных для следующих неинфекционных заболеваний и состояний: стенокардии, перенесенной транзиторной ишемической атаки или острого нарушения мозгового кровообращения, хронической обструктивной болезни легких, заболеваний желудочно-кишечного тракта, дорсопатий; определения факторов риска и других патологических состояний и заболеваний, повышающих вероятность развития хронических неинфекционных заболеваний: курения, риска пагубного потребления алкоголя, риска потребления наркотических средств и психотропных веществ без назначения врача, характера питания, физической активности;</w:t>
      </w:r>
    </w:p>
    <w:p>
      <w:pPr>
        <w:pStyle w:val="0"/>
        <w:spacing w:before="200" w:line-rule="auto"/>
        <w:ind w:firstLine="540"/>
        <w:jc w:val="both"/>
      </w:pPr>
      <w:r>
        <w:rPr>
          <w:sz w:val="20"/>
        </w:rPr>
        <w:t xml:space="preserve">2) следующие исследования:</w:t>
      </w:r>
    </w:p>
    <w:p>
      <w:pPr>
        <w:pStyle w:val="0"/>
        <w:spacing w:before="200" w:line-rule="auto"/>
        <w:ind w:firstLine="540"/>
        <w:jc w:val="both"/>
      </w:pPr>
      <w:r>
        <w:rPr>
          <w:sz w:val="20"/>
        </w:rPr>
        <w:t xml:space="preserve">а) расчет на основании антропометрии (измерение роста, массы тела, окружности талии) индекса массы тела;</w:t>
      </w:r>
    </w:p>
    <w:p>
      <w:pPr>
        <w:pStyle w:val="0"/>
        <w:spacing w:before="200" w:line-rule="auto"/>
        <w:ind w:firstLine="540"/>
        <w:jc w:val="both"/>
      </w:pPr>
      <w:r>
        <w:rPr>
          <w:sz w:val="20"/>
        </w:rPr>
        <w:t xml:space="preserve">б) общий анализ крови (гемоглобин, цветной показатель, эритроциты, тромбоциты, лейкоциты, лейкоцитарная формула, СОЭ);</w:t>
      </w:r>
    </w:p>
    <w:p>
      <w:pPr>
        <w:pStyle w:val="0"/>
        <w:spacing w:before="200" w:line-rule="auto"/>
        <w:ind w:firstLine="540"/>
        <w:jc w:val="both"/>
      </w:pPr>
      <w:r>
        <w:rPr>
          <w:sz w:val="20"/>
        </w:rPr>
        <w:t xml:space="preserve">в) клинический анализ мочи (удельный вес, белок, сахар, микроскопия осадка);</w:t>
      </w:r>
    </w:p>
    <w:p>
      <w:pPr>
        <w:pStyle w:val="0"/>
        <w:spacing w:before="200" w:line-rule="auto"/>
        <w:ind w:firstLine="540"/>
        <w:jc w:val="both"/>
      </w:pPr>
      <w:r>
        <w:rPr>
          <w:sz w:val="20"/>
        </w:rPr>
        <w:t xml:space="preserve">г) электрокардиография в покое;</w:t>
      </w:r>
    </w:p>
    <w:p>
      <w:pPr>
        <w:pStyle w:val="0"/>
        <w:spacing w:before="200" w:line-rule="auto"/>
        <w:ind w:firstLine="540"/>
        <w:jc w:val="both"/>
      </w:pPr>
      <w:r>
        <w:rPr>
          <w:sz w:val="20"/>
        </w:rPr>
        <w:t xml:space="preserve">д) измерение артериального давления на периферических артериях;</w:t>
      </w:r>
    </w:p>
    <w:p>
      <w:pPr>
        <w:pStyle w:val="0"/>
        <w:spacing w:before="200" w:line-rule="auto"/>
        <w:ind w:firstLine="540"/>
        <w:jc w:val="both"/>
      </w:pPr>
      <w:r>
        <w:rPr>
          <w:sz w:val="20"/>
        </w:rPr>
        <w:t xml:space="preserve">е) определение уровня общего холестерина в крови (допускается использование экспресс-метода);</w:t>
      </w:r>
    </w:p>
    <w:p>
      <w:pPr>
        <w:pStyle w:val="0"/>
        <w:spacing w:before="200" w:line-rule="auto"/>
        <w:ind w:firstLine="540"/>
        <w:jc w:val="both"/>
      </w:pPr>
      <w:r>
        <w:rPr>
          <w:sz w:val="20"/>
        </w:rPr>
        <w:t xml:space="preserve">ж) исследование уровня глюкозы в крови натощак (допускается использование экспресс-метода);</w:t>
      </w:r>
    </w:p>
    <w:p>
      <w:pPr>
        <w:pStyle w:val="0"/>
        <w:spacing w:before="200" w:line-rule="auto"/>
        <w:ind w:firstLine="540"/>
        <w:jc w:val="both"/>
      </w:pPr>
      <w:r>
        <w:rPr>
          <w:sz w:val="20"/>
        </w:rPr>
        <w:t xml:space="preserve">з) определение относительного сердечно-сосудистого риска (для специалистов авиационного персонала ГА в возрасте от 18 до 40 лет включительно). Сердечно-сосудистый риск определяется по шкале сердечно-сосудистого риска SCORE, при этом у специалистов авиационного персонала ГА, имеющих сердечно-сосудистые заболевания атеросклеротического генеза, сахарный диабет второго типа и хроническое заболевание почек, уровень абсолютного сердечно-сосудистого риска по шкале риска SCORE не определяется и расценивается как очень высокий вне зависимости от показателей шкалы;</w:t>
      </w:r>
    </w:p>
    <w:p>
      <w:pPr>
        <w:pStyle w:val="0"/>
        <w:spacing w:before="200" w:line-rule="auto"/>
        <w:ind w:firstLine="540"/>
        <w:jc w:val="both"/>
      </w:pPr>
      <w:r>
        <w:rPr>
          <w:sz w:val="20"/>
        </w:rPr>
        <w:t xml:space="preserve">и) определение абсолютного сердечно-сосудистого риска;</w:t>
      </w:r>
    </w:p>
    <w:p>
      <w:pPr>
        <w:pStyle w:val="0"/>
        <w:spacing w:before="200" w:line-rule="auto"/>
        <w:ind w:firstLine="540"/>
        <w:jc w:val="both"/>
      </w:pPr>
      <w:r>
        <w:rPr>
          <w:sz w:val="20"/>
        </w:rPr>
        <w:t xml:space="preserve">к) флюорография или рентгенография легких в двух проекциях (прямая и правая боковая). Флюорография, рентгенография легких не проводится, если специалисту авиационного персонала ГА в течение предшествующего года проводилась флюорография, рентгенография (рентгеноскопия) или компьютерная томография органов грудной клетки;</w:t>
      </w:r>
    </w:p>
    <w:p>
      <w:pPr>
        <w:pStyle w:val="0"/>
        <w:spacing w:before="200" w:line-rule="auto"/>
        <w:ind w:firstLine="540"/>
        <w:jc w:val="both"/>
      </w:pPr>
      <w:r>
        <w:rPr>
          <w:sz w:val="20"/>
        </w:rPr>
        <w:t xml:space="preserve">л) измерение внутриглазного давления (для специалистов авиационного персонала ГА в возрасте 40 лет и старше);</w:t>
      </w:r>
    </w:p>
    <w:p>
      <w:pPr>
        <w:pStyle w:val="0"/>
        <w:spacing w:before="200" w:line-rule="auto"/>
        <w:ind w:firstLine="540"/>
        <w:jc w:val="both"/>
      </w:pPr>
      <w:r>
        <w:rPr>
          <w:sz w:val="20"/>
        </w:rPr>
        <w:t xml:space="preserve">3) осмотры врачом - терапевтом, врачом - неврологом, врачом - психиатром и врачом - психиатром-наркологом.</w:t>
      </w:r>
    </w:p>
    <w:bookmarkStart w:id="132" w:name="P132"/>
    <w:bookmarkEnd w:id="132"/>
    <w:p>
      <w:pPr>
        <w:pStyle w:val="0"/>
        <w:spacing w:before="200" w:line-rule="auto"/>
        <w:ind w:firstLine="540"/>
        <w:jc w:val="both"/>
      </w:pPr>
      <w:r>
        <w:rPr>
          <w:sz w:val="20"/>
        </w:rPr>
        <w:t xml:space="preserve">14. Иные исследования и осмотры врачей-специалистов проводятся в соответствии с приложением N 1 к настоящему Порядку, а также в случаях, установленных приложением к </w:t>
      </w:r>
      <w:hyperlink w:history="0" r:id="rId47" w:tooltip="Приказ Минздрава России от 28.01.2021 N 29н (ред. от 02.10.2024)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quot; (Зарегистрировано {КонсультантПлюс}">
        <w:r>
          <w:rPr>
            <w:sz w:val="20"/>
            <w:color w:val="0000ff"/>
          </w:rPr>
          <w:t xml:space="preserve">Порядку</w:t>
        </w:r>
      </w:hyperlink>
      <w:r>
        <w:rPr>
          <w:sz w:val="20"/>
        </w:rPr>
        <w:t xml:space="preserve"> проведения обязательных предварительных и периодических медицинских осмотров специалистов авиационного персонала ГА, предусмотренных </w:t>
      </w:r>
      <w:hyperlink w:history="0" r:id="rId48" w:tooltip="&quot;Трудовой кодекс Российской Федерации&quot; от 30.12.2001 N 197-ФЗ (ред. от 31.07.2025) (с изм. и доп., вступ. в силу с 01.09.2025) {КонсультантПлюс}">
        <w:r>
          <w:rPr>
            <w:sz w:val="20"/>
            <w:color w:val="0000ff"/>
          </w:rPr>
          <w:t xml:space="preserve">частью четвертой статьи 220</w:t>
        </w:r>
      </w:hyperlink>
      <w:r>
        <w:rPr>
          <w:sz w:val="20"/>
        </w:rPr>
        <w:t xml:space="preserve"> Трудового кодекса Российской Федерации, утвержденному приказом Министерства здравоохранения Российской Федерации от 28 января 2021 г. N 29н &lt;9&gt; (далее - Порядок N 29н).</w:t>
      </w:r>
    </w:p>
    <w:p>
      <w:pPr>
        <w:pStyle w:val="0"/>
        <w:jc w:val="both"/>
      </w:pPr>
      <w:r>
        <w:rPr>
          <w:sz w:val="20"/>
        </w:rPr>
        <w:t xml:space="preserve">(в ред. </w:t>
      </w:r>
      <w:hyperlink w:history="0" r:id="rId49"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&lt;9&gt; Зарегистрирован Министерством юстиции Российской Федерации 29 января 2021 г., регистрационный N 62277, с изменениями, внесенными приказом Министерства здравоохранения Российской Федерации от 1 февраля 2022 г. N 44н (зарегистрирован Министерством юстиции Российской Федерации 9 февраля 2022 г., регистрационный N 67206). В соответствии с </w:t>
      </w:r>
      <w:hyperlink w:history="0" r:id="rId50" w:tooltip="Приказ Минздрава России от 28.01.2021 N 29н (ред. от 02.10.2024)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quot; (Зарегистрировано {КонсультантПлюс}">
        <w:r>
          <w:rPr>
            <w:sz w:val="20"/>
            <w:color w:val="0000ff"/>
          </w:rPr>
          <w:t xml:space="preserve">пунктом 2</w:t>
        </w:r>
      </w:hyperlink>
      <w:r>
        <w:rPr>
          <w:sz w:val="20"/>
        </w:rPr>
        <w:t xml:space="preserve"> приказа Министерства здравоохранения Российской Федерации от 28 января 2021 г. N 29н данный акт действует до 1 апреля 2027 г.</w:t>
      </w:r>
    </w:p>
    <w:p>
      <w:pPr>
        <w:pStyle w:val="0"/>
        <w:jc w:val="both"/>
      </w:pPr>
      <w:r>
        <w:rPr>
          <w:sz w:val="20"/>
        </w:rPr>
        <w:t xml:space="preserve">(в ред. </w:t>
      </w:r>
      <w:hyperlink w:history="0" r:id="rId51"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p>
      <w:pPr>
        <w:pStyle w:val="0"/>
        <w:jc w:val="both"/>
      </w:pPr>
      <w:r>
        <w:rPr>
          <w:sz w:val="20"/>
        </w:rPr>
      </w:r>
    </w:p>
    <w:p>
      <w:pPr>
        <w:pStyle w:val="0"/>
        <w:ind w:firstLine="540"/>
        <w:jc w:val="both"/>
      </w:pPr>
      <w:r>
        <w:rPr>
          <w:sz w:val="20"/>
        </w:rPr>
        <w:t xml:space="preserve">15. На специалиста авиационного персонала ГА, проходящего предварительный осмотр, в медицинской организации оформляется медицинская карта, в которую вносятся заключения врачей-специалистов, результаты лабораторных и иных исследований, заключение по результатам предварительного осмотра. Ведение медицинской карты может осуществляться в форме электронного документа.</w:t>
      </w:r>
    </w:p>
    <w:p>
      <w:pPr>
        <w:pStyle w:val="0"/>
        <w:spacing w:before="200" w:line-rule="auto"/>
        <w:ind w:firstLine="540"/>
        <w:jc w:val="both"/>
      </w:pPr>
      <w:r>
        <w:rPr>
          <w:sz w:val="20"/>
        </w:rPr>
        <w:t xml:space="preserve">16. Предварительный осмотр является завершенным в случае наличия заключения врачей-специалистов и результатов лабораторных и иных исследований в объеме, установленном договором между медицинской организацией и работодателем в соответствии с </w:t>
      </w:r>
      <w:hyperlink w:history="0" w:anchor="P117" w:tooltip="13. При проведении предварительных осмотров специалисты авиационного персонала ГА проходят (за исключением осмотров и исследований, результаты которых учтены в соответствии с пунктом 7 настоящего Порядка):">
        <w:r>
          <w:rPr>
            <w:sz w:val="20"/>
            <w:color w:val="0000ff"/>
          </w:rPr>
          <w:t xml:space="preserve">пунктами 13</w:t>
        </w:r>
      </w:hyperlink>
      <w:r>
        <w:rPr>
          <w:sz w:val="20"/>
        </w:rPr>
        <w:t xml:space="preserve"> и </w:t>
      </w:r>
      <w:hyperlink w:history="0" w:anchor="P132" w:tooltip="14. Иные исследования и осмотры врачей-специалистов проводятся в соответствии с приложением N 1 к настоящему Порядку, а также в случаях, установленных приложением к Порядку проведения обязательных предварительных и периодических медицинских осмотров специалистов авиационного персонала ГА, предусмотренных частью четвертой статьи 220 Трудового кодекса Российской Федерации, утвержденному приказом Министерства здравоохранения Российской Федерации от 28 января 2021 г. N 29н &lt;9&gt; (далее - Порядок N 29н).">
        <w:r>
          <w:rPr>
            <w:sz w:val="20"/>
            <w:color w:val="0000ff"/>
          </w:rPr>
          <w:t xml:space="preserve">14</w:t>
        </w:r>
      </w:hyperlink>
      <w:r>
        <w:rPr>
          <w:sz w:val="20"/>
        </w:rPr>
        <w:t xml:space="preserve"> настоящего Порядка, с учетом результатов ранее проведенных (не позднее одного года) медицинских осмотров, диспансеризации.</w:t>
      </w:r>
    </w:p>
    <w:p>
      <w:pPr>
        <w:pStyle w:val="0"/>
        <w:jc w:val="both"/>
      </w:pPr>
      <w:r>
        <w:rPr>
          <w:sz w:val="20"/>
        </w:rPr>
        <w:t xml:space="preserve">(в ред. </w:t>
      </w:r>
      <w:hyperlink w:history="0" r:id="rId52"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p>
      <w:pPr>
        <w:pStyle w:val="0"/>
        <w:spacing w:before="200" w:line-rule="auto"/>
        <w:ind w:firstLine="540"/>
        <w:jc w:val="both"/>
      </w:pPr>
      <w:r>
        <w:rPr>
          <w:sz w:val="20"/>
        </w:rPr>
        <w:t xml:space="preserve">17. По окончании прохождения специалистом авиационного персонала ГА предварительного осмотра медицинской организацией оформляется медицинское заключение (далее - Заключение).</w:t>
      </w:r>
    </w:p>
    <w:bookmarkStart w:id="142" w:name="P142"/>
    <w:bookmarkEnd w:id="142"/>
    <w:p>
      <w:pPr>
        <w:pStyle w:val="0"/>
        <w:spacing w:before="200" w:line-rule="auto"/>
        <w:ind w:firstLine="540"/>
        <w:jc w:val="both"/>
      </w:pPr>
      <w:r>
        <w:rPr>
          <w:sz w:val="20"/>
        </w:rPr>
        <w:t xml:space="preserve">18. В Заключении указываются:</w:t>
      </w:r>
    </w:p>
    <w:p>
      <w:pPr>
        <w:pStyle w:val="0"/>
        <w:spacing w:before="200" w:line-rule="auto"/>
        <w:ind w:firstLine="540"/>
        <w:jc w:val="both"/>
      </w:pPr>
      <w:r>
        <w:rPr>
          <w:sz w:val="20"/>
        </w:rPr>
        <w:t xml:space="preserve">дата выдачи Заключения;</w:t>
      </w:r>
    </w:p>
    <w:p>
      <w:pPr>
        <w:pStyle w:val="0"/>
        <w:spacing w:before="200" w:line-rule="auto"/>
        <w:ind w:firstLine="540"/>
        <w:jc w:val="both"/>
      </w:pPr>
      <w:r>
        <w:rPr>
          <w:sz w:val="20"/>
        </w:rPr>
        <w:t xml:space="preserve">фамилия, имя, отчество (при наличии), дата рождения, пол специалиста авиационного персонала ГА;</w:t>
      </w:r>
    </w:p>
    <w:p>
      <w:pPr>
        <w:pStyle w:val="0"/>
        <w:spacing w:before="200" w:line-rule="auto"/>
        <w:ind w:firstLine="540"/>
        <w:jc w:val="both"/>
      </w:pPr>
      <w:r>
        <w:rPr>
          <w:sz w:val="20"/>
        </w:rPr>
        <w:t xml:space="preserve">наименование работодателя;</w:t>
      </w:r>
    </w:p>
    <w:p>
      <w:pPr>
        <w:pStyle w:val="0"/>
        <w:spacing w:before="200" w:line-rule="auto"/>
        <w:ind w:firstLine="540"/>
        <w:jc w:val="both"/>
      </w:pPr>
      <w:r>
        <w:rPr>
          <w:sz w:val="20"/>
        </w:rPr>
        <w:t xml:space="preserve">наименование структурного подразделения работодателя (при наличии), должности (профессии) или вида работы, категория специалиста авиационного персонала ГА;</w:t>
      </w:r>
    </w:p>
    <w:p>
      <w:pPr>
        <w:pStyle w:val="0"/>
        <w:jc w:val="both"/>
      </w:pPr>
      <w:r>
        <w:rPr>
          <w:sz w:val="20"/>
        </w:rPr>
        <w:t xml:space="preserve">(в ред. </w:t>
      </w:r>
      <w:hyperlink w:history="0" r:id="rId53"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p>
      <w:pPr>
        <w:pStyle w:val="0"/>
        <w:spacing w:before="200" w:line-rule="auto"/>
        <w:ind w:firstLine="540"/>
        <w:jc w:val="both"/>
      </w:pPr>
      <w:r>
        <w:rPr>
          <w:sz w:val="20"/>
        </w:rPr>
        <w:t xml:space="preserve">наименование вредных и (или) опасных производственных факторов, видов работ;</w:t>
      </w:r>
    </w:p>
    <w:p>
      <w:pPr>
        <w:pStyle w:val="0"/>
        <w:spacing w:before="200" w:line-rule="auto"/>
        <w:ind w:firstLine="540"/>
        <w:jc w:val="both"/>
      </w:pPr>
      <w:r>
        <w:rPr>
          <w:sz w:val="20"/>
        </w:rPr>
        <w:t xml:space="preserve">результаты предварительного осмотра: медицинские противопоказания к работе выявлены (вредные факторы или виды работ, в отношении которых выявлены противопоказания) или медицинские противопоказания к работе не выявлены; группа здоровья лица, поступающего на работу.</w:t>
      </w:r>
    </w:p>
    <w:bookmarkStart w:id="150" w:name="P150"/>
    <w:bookmarkEnd w:id="150"/>
    <w:p>
      <w:pPr>
        <w:pStyle w:val="0"/>
        <w:spacing w:before="200" w:line-rule="auto"/>
        <w:ind w:firstLine="540"/>
        <w:jc w:val="both"/>
      </w:pPr>
      <w:r>
        <w:rPr>
          <w:sz w:val="20"/>
        </w:rPr>
        <w:t xml:space="preserve">19. Заключение подписывается председателем врачебной комиссии с указанием его фамилии и инициалов имени и отчества (при наличии) и заверяется печатью (при наличии) медицинской организации, проводившей медицинский осмотр.</w:t>
      </w:r>
    </w:p>
    <w:p>
      <w:pPr>
        <w:pStyle w:val="0"/>
        <w:spacing w:before="200" w:line-rule="auto"/>
        <w:ind w:firstLine="540"/>
        <w:jc w:val="both"/>
      </w:pPr>
      <w:r>
        <w:rPr>
          <w:sz w:val="20"/>
        </w:rPr>
        <w:t xml:space="preserve">Допускается выдача заключения в форме электронного документа, подписанного усиленной квалифицированной электронной подписью председателя врачебной комиссии,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pPr>
        <w:pStyle w:val="0"/>
        <w:spacing w:before="200" w:line-rule="auto"/>
        <w:ind w:firstLine="540"/>
        <w:jc w:val="both"/>
      </w:pPr>
      <w:r>
        <w:rPr>
          <w:sz w:val="20"/>
        </w:rPr>
        <w:t xml:space="preserve">20. Заключение оформляется в трех экземплярах, один экземпляр которого не позднее 5 рабочих дней выдается специалисту авиационного персонала ГА второй экземпляр приобщается к медицинской карте, оформляемой в медицинской организации, в которой проводился предварительный осмотр, третий направляется работодателю.</w:t>
      </w:r>
    </w:p>
    <w:p>
      <w:pPr>
        <w:pStyle w:val="0"/>
        <w:jc w:val="both"/>
      </w:pPr>
      <w:r>
        <w:rPr>
          <w:sz w:val="20"/>
        </w:rPr>
      </w:r>
    </w:p>
    <w:p>
      <w:pPr>
        <w:pStyle w:val="2"/>
        <w:outlineLvl w:val="1"/>
        <w:jc w:val="center"/>
      </w:pPr>
      <w:r>
        <w:rPr>
          <w:sz w:val="20"/>
        </w:rPr>
        <w:t xml:space="preserve">III. Проведение периодических осмотров</w:t>
      </w:r>
    </w:p>
    <w:p>
      <w:pPr>
        <w:pStyle w:val="0"/>
        <w:jc w:val="both"/>
      </w:pPr>
      <w:r>
        <w:rPr>
          <w:sz w:val="20"/>
        </w:rPr>
      </w:r>
    </w:p>
    <w:p>
      <w:pPr>
        <w:pStyle w:val="0"/>
        <w:ind w:firstLine="540"/>
        <w:jc w:val="both"/>
      </w:pPr>
      <w:r>
        <w:rPr>
          <w:sz w:val="20"/>
        </w:rPr>
        <w:t xml:space="preserve">21. Специалисты из числа авиационного персонала ГА, подвергающиеся воздействию вредных и опасных производственных факторов, должны проходить периодические осмотры с периодичностью, установленной настоящим Порядком, за исключением специалистов из числа авиационного персонала ГА, занятых на работах с вредными и (или) опасными условиями труда, а также оказывающих услуги по предоставлению бортового питания, горячих и прохладительных напитков пассажирам, в отношении которых предварительные и периодические медицинские осмотры должны проводиться в соответствии с </w:t>
      </w:r>
      <w:hyperlink w:history="0" r:id="rId54" w:tooltip="Приказ Минздрава России от 28.01.2021 N 29н (ред. от 02.10.2024)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quot; (Зарегистрировано {КонсультантПлюс}">
        <w:r>
          <w:rPr>
            <w:sz w:val="20"/>
            <w:color w:val="0000ff"/>
          </w:rPr>
          <w:t xml:space="preserve">Порядком</w:t>
        </w:r>
      </w:hyperlink>
      <w:r>
        <w:rPr>
          <w:sz w:val="20"/>
        </w:rPr>
        <w:t xml:space="preserve"> N 29н.</w:t>
      </w:r>
    </w:p>
    <w:p>
      <w:pPr>
        <w:pStyle w:val="0"/>
        <w:spacing w:before="200" w:line-rule="auto"/>
        <w:ind w:firstLine="540"/>
        <w:jc w:val="both"/>
      </w:pPr>
      <w:r>
        <w:rPr>
          <w:sz w:val="20"/>
        </w:rPr>
        <w:t xml:space="preserve">При совпадении сроков периодических осмотров в медицинской карте и заключении врачебной комиссии должны указываться все виды работ и факторы производства, по которым требуется заключение о соответствии состояния здоровья специалистов авиационного персонала ГА их профессиональной деятельности.</w:t>
      </w:r>
    </w:p>
    <w:p>
      <w:pPr>
        <w:pStyle w:val="0"/>
        <w:spacing w:before="200" w:line-rule="auto"/>
        <w:ind w:firstLine="540"/>
        <w:jc w:val="both"/>
      </w:pPr>
      <w:r>
        <w:rPr>
          <w:sz w:val="20"/>
        </w:rPr>
        <w:t xml:space="preserve">Работодатель должен составить поименный список специалистов из числа авиационного персонала гражданской авиации, подлежащих периодическим осмотрам (далее - поименный список) (рекомендуемый образец приведен в </w:t>
      </w:r>
      <w:hyperlink w:history="0" w:anchor="P391" w:tooltip="                             Поименный список">
        <w:r>
          <w:rPr>
            <w:sz w:val="20"/>
            <w:color w:val="0000ff"/>
          </w:rPr>
          <w:t xml:space="preserve">приложении N 4</w:t>
        </w:r>
      </w:hyperlink>
      <w:r>
        <w:rPr>
          <w:sz w:val="20"/>
        </w:rPr>
        <w:t xml:space="preserve"> к настоящему Порядку), который направляется во врачебную комиссию медицинской организации, в том числе в электронном виде.</w:t>
      </w:r>
    </w:p>
    <w:p>
      <w:pPr>
        <w:pStyle w:val="0"/>
        <w:jc w:val="both"/>
      </w:pPr>
      <w:r>
        <w:rPr>
          <w:sz w:val="20"/>
        </w:rPr>
        <w:t xml:space="preserve">(в ред. </w:t>
      </w:r>
      <w:hyperlink w:history="0" r:id="rId55"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p>
      <w:pPr>
        <w:pStyle w:val="0"/>
        <w:spacing w:before="200" w:line-rule="auto"/>
        <w:ind w:firstLine="540"/>
        <w:jc w:val="both"/>
      </w:pPr>
      <w:r>
        <w:rPr>
          <w:sz w:val="20"/>
        </w:rPr>
        <w:t xml:space="preserve">22. Врачебная комиссия медицинской организации на основании поименных списков специалистов авиационного персонала ГА, подлежащих периодическим осмотрам, с учетом результатов ранее проведенных (не позднее одного года) предварительного или периодического осмотра, диспансеризации, иных медицинских осмотров, подтвержденных документами, в том числе полученных с применением электронного обмена между медицинскими организациями, должна определить необходимость участия в периодических осмотрах соответствующих врачей-специалистов, а также виды и объемы необходимых лабораторных и функциональных исследований.</w:t>
      </w:r>
    </w:p>
    <w:p>
      <w:pPr>
        <w:pStyle w:val="0"/>
        <w:jc w:val="both"/>
      </w:pPr>
      <w:r>
        <w:rPr>
          <w:sz w:val="20"/>
        </w:rPr>
        <w:t xml:space="preserve">(в ред. </w:t>
      </w:r>
      <w:hyperlink w:history="0" r:id="rId56"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p>
      <w:pPr>
        <w:pStyle w:val="0"/>
        <w:spacing w:before="200" w:line-rule="auto"/>
        <w:ind w:firstLine="540"/>
        <w:jc w:val="both"/>
      </w:pPr>
      <w:r>
        <w:rPr>
          <w:sz w:val="20"/>
        </w:rPr>
        <w:t xml:space="preserve">23. Медицинская организация должна согласовывать с работодателем дату начала проведения периодического осмотра и в срок не позднее 14 рабочих дней до указанной даты составить, согласовать с работодателем и утвердить календарный план проведения периодического медицинского осмотра (далее - календарный план).</w:t>
      </w:r>
    </w:p>
    <w:p>
      <w:pPr>
        <w:pStyle w:val="0"/>
        <w:spacing w:before="200" w:line-rule="auto"/>
        <w:ind w:firstLine="540"/>
        <w:jc w:val="both"/>
      </w:pPr>
      <w:r>
        <w:rPr>
          <w:sz w:val="20"/>
        </w:rPr>
        <w:t xml:space="preserve">24. Работодатель не позднее 10 рабочих дней до даты начала проведения периодического осмотра обязан ознакомить специалистов авиационного персонала ГА, подлежащих периодическому осмотру, с календарным планом.</w:t>
      </w:r>
    </w:p>
    <w:p>
      <w:pPr>
        <w:pStyle w:val="0"/>
        <w:spacing w:before="200" w:line-rule="auto"/>
        <w:ind w:firstLine="540"/>
        <w:jc w:val="both"/>
      </w:pPr>
      <w:r>
        <w:rPr>
          <w:sz w:val="20"/>
        </w:rPr>
        <w:t xml:space="preserve">25. Для прохождения периодического осмотра специалист авиационного персонала ГА обязан прибыть в медицинскую организацию в день, установленный календарным планом, и предъявить в медицинской организации документы, указанные в </w:t>
      </w:r>
      <w:hyperlink w:history="0" w:anchor="P107" w:tooltip="12. Для прохождения предварительного осмотра лицо, претендующее на замещение должности специалиста из числа авиационного персонала ГА, представляет в медицинскую организацию, в которой проводится предварительный осмотр, следующие документы:">
        <w:r>
          <w:rPr>
            <w:sz w:val="20"/>
            <w:color w:val="0000ff"/>
          </w:rPr>
          <w:t xml:space="preserve">пункте 12</w:t>
        </w:r>
      </w:hyperlink>
      <w:r>
        <w:rPr>
          <w:sz w:val="20"/>
        </w:rPr>
        <w:t xml:space="preserve"> настоящего Порядка.</w:t>
      </w:r>
    </w:p>
    <w:p>
      <w:pPr>
        <w:pStyle w:val="0"/>
        <w:spacing w:before="200" w:line-rule="auto"/>
        <w:ind w:firstLine="540"/>
        <w:jc w:val="both"/>
      </w:pPr>
      <w:r>
        <w:rPr>
          <w:sz w:val="20"/>
        </w:rPr>
        <w:t xml:space="preserve">26. На специалиста авиационного персонала ГА, проходящего периодический осмотр, в медицинской организации оформляется медицинская карта (при отсутствии), в которую вносятся заключения врачей-специалистов, результаты лабораторных и иных исследований, заключение по результатам периодического осмотра. Ведение медицинской карты может осуществляться в форме электронного документа.</w:t>
      </w:r>
    </w:p>
    <w:p>
      <w:pPr>
        <w:pStyle w:val="0"/>
        <w:spacing w:before="200" w:line-rule="auto"/>
        <w:ind w:firstLine="540"/>
        <w:jc w:val="both"/>
      </w:pPr>
      <w:r>
        <w:rPr>
          <w:sz w:val="20"/>
        </w:rPr>
        <w:t xml:space="preserve">27. При проведении периодических осмотров обследуемые специалисты авиационного персонала ГА проходят (за исключением осмотров и исследований, результаты которых учтены в соответствии с </w:t>
      </w:r>
      <w:hyperlink w:history="0" w:anchor="P86" w:tooltip="7. При проведении предварительного или периодического осмотра лица, претендующего на замещение должности специалиста из числа авиационного персонала ГА, должны учитываться результаты ранее проведенных (не позднее 12 месяцев) предварительного или периодического осмотра, диспансеризации, за исключением случаев выявления у специалистов из числа авиационного персонала ГА симптомов и синдромов заболеваний, свидетельствующих о наличии медицинских показаний для повторного проведения исследований либо иных медиц...">
        <w:r>
          <w:rPr>
            <w:sz w:val="20"/>
            <w:color w:val="0000ff"/>
          </w:rPr>
          <w:t xml:space="preserve">пунктом 7</w:t>
        </w:r>
      </w:hyperlink>
      <w:r>
        <w:rPr>
          <w:sz w:val="20"/>
        </w:rPr>
        <w:t xml:space="preserve"> настоящего Порядка):</w:t>
      </w:r>
    </w:p>
    <w:p>
      <w:pPr>
        <w:pStyle w:val="0"/>
        <w:spacing w:before="200" w:line-rule="auto"/>
        <w:ind w:firstLine="540"/>
        <w:jc w:val="both"/>
      </w:pPr>
      <w:r>
        <w:rPr>
          <w:sz w:val="20"/>
        </w:rPr>
        <w:t xml:space="preserve">а) осмотр врача-терапевта, врача-невролога, врача-психиатра и врача-психиатра-нарколога;</w:t>
      </w:r>
    </w:p>
    <w:p>
      <w:pPr>
        <w:pStyle w:val="0"/>
        <w:spacing w:before="200" w:line-rule="auto"/>
        <w:ind w:firstLine="540"/>
        <w:jc w:val="both"/>
      </w:pPr>
      <w:r>
        <w:rPr>
          <w:sz w:val="20"/>
        </w:rPr>
        <w:t xml:space="preserve">б) следующие исследования:</w:t>
      </w:r>
    </w:p>
    <w:p>
      <w:pPr>
        <w:pStyle w:val="0"/>
        <w:spacing w:before="200" w:line-rule="auto"/>
        <w:ind w:firstLine="540"/>
        <w:jc w:val="both"/>
      </w:pPr>
      <w:r>
        <w:rPr>
          <w:sz w:val="20"/>
        </w:rPr>
        <w:t xml:space="preserve">общий анализ крови (гемоглобин, цветной показатель, эритроциты, тромбоциты, лейкоциты, лейкоцитарная формула, СОЭ);</w:t>
      </w:r>
    </w:p>
    <w:p>
      <w:pPr>
        <w:pStyle w:val="0"/>
        <w:spacing w:before="200" w:line-rule="auto"/>
        <w:ind w:firstLine="540"/>
        <w:jc w:val="both"/>
      </w:pPr>
      <w:r>
        <w:rPr>
          <w:sz w:val="20"/>
        </w:rPr>
        <w:t xml:space="preserve">клинический анализ мочи (удельный вес, белок, сахар, микроскопия осадка);</w:t>
      </w:r>
    </w:p>
    <w:p>
      <w:pPr>
        <w:pStyle w:val="0"/>
        <w:spacing w:before="200" w:line-rule="auto"/>
        <w:ind w:firstLine="540"/>
        <w:jc w:val="both"/>
      </w:pPr>
      <w:r>
        <w:rPr>
          <w:sz w:val="20"/>
        </w:rPr>
        <w:t xml:space="preserve">электрокардиография в покое;</w:t>
      </w:r>
    </w:p>
    <w:p>
      <w:pPr>
        <w:pStyle w:val="0"/>
        <w:spacing w:before="200" w:line-rule="auto"/>
        <w:ind w:firstLine="540"/>
        <w:jc w:val="both"/>
      </w:pPr>
      <w:r>
        <w:rPr>
          <w:sz w:val="20"/>
        </w:rPr>
        <w:t xml:space="preserve">измерение артериального давления на периферических артериях;</w:t>
      </w:r>
    </w:p>
    <w:p>
      <w:pPr>
        <w:pStyle w:val="0"/>
        <w:spacing w:before="200" w:line-rule="auto"/>
        <w:ind w:firstLine="540"/>
        <w:jc w:val="both"/>
      </w:pPr>
      <w:r>
        <w:rPr>
          <w:sz w:val="20"/>
        </w:rPr>
        <w:t xml:space="preserve">определение уровня общего холестерина в крови (допускается использование экспресс-метода);</w:t>
      </w:r>
    </w:p>
    <w:p>
      <w:pPr>
        <w:pStyle w:val="0"/>
        <w:spacing w:before="200" w:line-rule="auto"/>
        <w:ind w:firstLine="540"/>
        <w:jc w:val="both"/>
      </w:pPr>
      <w:r>
        <w:rPr>
          <w:sz w:val="20"/>
        </w:rPr>
        <w:t xml:space="preserve">исследование уровня глюкозы в крови натощак (допускается использование экспресс-метода);</w:t>
      </w:r>
    </w:p>
    <w:p>
      <w:pPr>
        <w:pStyle w:val="0"/>
        <w:spacing w:before="200" w:line-rule="auto"/>
        <w:ind w:firstLine="540"/>
        <w:jc w:val="both"/>
      </w:pPr>
      <w:r>
        <w:rPr>
          <w:sz w:val="20"/>
        </w:rPr>
        <w:t xml:space="preserve">определение относительного сердечно-сосудистого риска у лиц в возрасте от 18 до 40 лет включительно;</w:t>
      </w:r>
    </w:p>
    <w:p>
      <w:pPr>
        <w:pStyle w:val="0"/>
        <w:spacing w:before="200" w:line-rule="auto"/>
        <w:ind w:firstLine="540"/>
        <w:jc w:val="both"/>
      </w:pPr>
      <w:r>
        <w:rPr>
          <w:sz w:val="20"/>
        </w:rPr>
        <w:t xml:space="preserve">определение абсолютного сердечно-сосудистого риска - у лиц в возрасте старше 40 лет;</w:t>
      </w:r>
    </w:p>
    <w:p>
      <w:pPr>
        <w:pStyle w:val="0"/>
        <w:spacing w:before="200" w:line-rule="auto"/>
        <w:ind w:firstLine="540"/>
        <w:jc w:val="both"/>
      </w:pPr>
      <w:r>
        <w:rPr>
          <w:sz w:val="20"/>
        </w:rPr>
        <w:t xml:space="preserve">флюорография или рентгенография легких в двух проекциях (прямая и правая боковая) для граждан в возрасте 18 лет и старше. Флюорография, рентгенография легких не проводится, если специалисту авиационного персонала ГА в течение предшествующего календарного года проводилась флюорография, рентгенография (рентгеноскопия) или компьютерная томография органов грудной клетки;</w:t>
      </w:r>
    </w:p>
    <w:p>
      <w:pPr>
        <w:pStyle w:val="0"/>
        <w:spacing w:before="200" w:line-rule="auto"/>
        <w:ind w:firstLine="540"/>
        <w:jc w:val="both"/>
      </w:pPr>
      <w:r>
        <w:rPr>
          <w:sz w:val="20"/>
        </w:rPr>
        <w:t xml:space="preserve">измерение внутриглазного давления у лиц в возрасте с 40 лет и старше;</w:t>
      </w:r>
    </w:p>
    <w:p>
      <w:pPr>
        <w:pStyle w:val="0"/>
        <w:spacing w:before="200" w:line-rule="auto"/>
        <w:ind w:firstLine="540"/>
        <w:jc w:val="both"/>
      </w:pPr>
      <w:r>
        <w:rPr>
          <w:sz w:val="20"/>
        </w:rPr>
        <w:t xml:space="preserve">в) женщины дополнительно в обязательном порядке должны проходить:</w:t>
      </w:r>
    </w:p>
    <w:p>
      <w:pPr>
        <w:pStyle w:val="0"/>
        <w:spacing w:before="200" w:line-rule="auto"/>
        <w:ind w:firstLine="540"/>
        <w:jc w:val="both"/>
      </w:pPr>
      <w:r>
        <w:rPr>
          <w:sz w:val="20"/>
        </w:rPr>
        <w:t xml:space="preserve">осмотр врача акушера-гинеколога с проведением бактериологического (на флору) и цитологического (на атипичные клетки) исследования;</w:t>
      </w:r>
    </w:p>
    <w:p>
      <w:pPr>
        <w:pStyle w:val="0"/>
        <w:spacing w:before="200" w:line-rule="auto"/>
        <w:ind w:firstLine="540"/>
        <w:jc w:val="both"/>
      </w:pPr>
      <w:r>
        <w:rPr>
          <w:sz w:val="20"/>
        </w:rPr>
        <w:t xml:space="preserve">ультразвуковое исследование органов малого таза;</w:t>
      </w:r>
    </w:p>
    <w:p>
      <w:pPr>
        <w:pStyle w:val="0"/>
        <w:spacing w:before="200" w:line-rule="auto"/>
        <w:ind w:firstLine="540"/>
        <w:jc w:val="both"/>
      </w:pPr>
      <w:r>
        <w:rPr>
          <w:sz w:val="20"/>
        </w:rPr>
        <w:t xml:space="preserve">женщины старше 40 лет - маммографию обеих молочных желез в двух проекциях. Маммография не проводится, если в течение предшествующих 12 месяцев проводилась маммография или компьютерная томография молочных желез.</w:t>
      </w:r>
    </w:p>
    <w:p>
      <w:pPr>
        <w:pStyle w:val="0"/>
        <w:spacing w:before="200" w:line-rule="auto"/>
        <w:ind w:firstLine="540"/>
        <w:jc w:val="both"/>
      </w:pPr>
      <w:r>
        <w:rPr>
          <w:sz w:val="20"/>
        </w:rPr>
        <w:t xml:space="preserve">28. Предварительные и периодические осмотры должны проводиться в соответствии с </w:t>
      </w:r>
      <w:hyperlink w:history="0" r:id="rId57" w:tooltip="Приказ Минздрава России от 24.07.2025 N 451н &quot;Об утверждении Перечня медицинских противопоказаний к осуществлению работ, выполняемых специалистами авиационного персонала гражданской авиации Российской Федерации&quot; (Зарегистрировано в Минюсте России 25.08.2025 N 83298) ------------ Не вступил в силу {КонсультантПлюс}">
        <w:r>
          <w:rPr>
            <w:sz w:val="20"/>
            <w:color w:val="0000ff"/>
          </w:rPr>
          <w:t xml:space="preserve">перечнем</w:t>
        </w:r>
      </w:hyperlink>
      <w:r>
        <w:rPr>
          <w:sz w:val="20"/>
        </w:rPr>
        <w:t xml:space="preserve"> медицинских противопоказаний к осуществлению работ, выполняемых специалистами авиационного персонала ГА,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соответствии с </w:t>
      </w:r>
      <w:hyperlink w:history="0" r:id="rId58" w:tooltip="Федеральный закон от 21.11.2011 N 323-ФЗ (ред. от 23.07.2025) &quot;Об основах охраны здоровья граждан в Российской Федерации&quot; (с изм. и доп., вступ. в силу с 01.09.2025) {КонсультантПлюс}">
        <w:r>
          <w:rPr>
            <w:sz w:val="20"/>
            <w:color w:val="0000ff"/>
          </w:rPr>
          <w:t xml:space="preserve">частью 3 статьи 24</w:t>
        </w:r>
      </w:hyperlink>
      <w:r>
        <w:rPr>
          <w:sz w:val="20"/>
        </w:rPr>
        <w:t xml:space="preserve"> Федерального закона от 21 ноября 2011 г. N 323-ФЗ "Об основах охраны здоровья граждан в Российской Федерации".</w:t>
      </w:r>
    </w:p>
    <w:p>
      <w:pPr>
        <w:pStyle w:val="0"/>
        <w:jc w:val="both"/>
      </w:pPr>
      <w:r>
        <w:rPr>
          <w:sz w:val="20"/>
        </w:rPr>
        <w:t xml:space="preserve">(п. 28 в ред. </w:t>
      </w:r>
      <w:hyperlink w:history="0" r:id="rId59"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p>
      <w:pPr>
        <w:pStyle w:val="0"/>
        <w:spacing w:before="200" w:line-rule="auto"/>
        <w:ind w:firstLine="540"/>
        <w:jc w:val="both"/>
      </w:pPr>
      <w:r>
        <w:rPr>
          <w:sz w:val="20"/>
        </w:rPr>
        <w:t xml:space="preserve">29. Периодический осмотр является завершенным в случае наличия заключения врачей-специалистов и результатов лабораторных и иных исследований в объеме, установленном договором между медицинской организацией и работодателем с учетом результатов ранее проведенных (не позднее одного года) медицинских осмотров, диспансеризаций.</w:t>
      </w:r>
    </w:p>
    <w:p>
      <w:pPr>
        <w:pStyle w:val="0"/>
        <w:spacing w:before="200" w:line-rule="auto"/>
        <w:ind w:firstLine="540"/>
        <w:jc w:val="both"/>
      </w:pPr>
      <w:r>
        <w:rPr>
          <w:sz w:val="20"/>
        </w:rPr>
        <w:t xml:space="preserve">30. По окончании прохождения специалистом авиационного персонала ГА периодического осмотра медицинской организацией оформляется заключение по его результатам в соответствии с </w:t>
      </w:r>
      <w:hyperlink w:history="0" w:anchor="P142" w:tooltip="18. В Заключении указываются:">
        <w:r>
          <w:rPr>
            <w:sz w:val="20"/>
            <w:color w:val="0000ff"/>
          </w:rPr>
          <w:t xml:space="preserve">пунктами 18</w:t>
        </w:r>
      </w:hyperlink>
      <w:r>
        <w:rPr>
          <w:sz w:val="20"/>
        </w:rPr>
        <w:t xml:space="preserve"> и </w:t>
      </w:r>
      <w:hyperlink w:history="0" w:anchor="P150" w:tooltip="19. Заключение подписывается председателем врачебной комиссии с указанием его фамилии и инициалов имени и отчества (при наличии) и заверяется печатью (при наличии) медицинской организации, проводившей медицинский осмотр.">
        <w:r>
          <w:rPr>
            <w:sz w:val="20"/>
            <w:color w:val="0000ff"/>
          </w:rPr>
          <w:t xml:space="preserve">19</w:t>
        </w:r>
      </w:hyperlink>
      <w:r>
        <w:rPr>
          <w:sz w:val="20"/>
        </w:rPr>
        <w:t xml:space="preserve"> настоящего Порядка.</w:t>
      </w:r>
    </w:p>
    <w:p>
      <w:pPr>
        <w:pStyle w:val="0"/>
        <w:spacing w:before="200" w:line-rule="auto"/>
        <w:ind w:firstLine="540"/>
        <w:jc w:val="both"/>
      </w:pPr>
      <w:r>
        <w:rPr>
          <w:sz w:val="20"/>
        </w:rPr>
        <w:t xml:space="preserve">31. Заключение по результатам периодического осмотра оформляется в четырех экземплярах, один экземпляр которого не позднее 5 рабочих дней выдается специалисту авиационного персонала ГА.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 направляется работодателю, четвертый - в медицинскую организацию, в которой специалист авиационного персонала ГА находится на медицинском обслуживании.</w:t>
      </w:r>
    </w:p>
    <w:p>
      <w:pPr>
        <w:pStyle w:val="0"/>
        <w:spacing w:before="200" w:line-rule="auto"/>
        <w:ind w:firstLine="540"/>
        <w:jc w:val="both"/>
      </w:pPr>
      <w:r>
        <w:rPr>
          <w:sz w:val="20"/>
        </w:rPr>
        <w:t xml:space="preserve">32. По результатам периодического осмотра специалисту авиационного персонала ГА должны быть даны рекомендации по профилактике заболеваний, в том числе профессиональных, а при наличии медицинских показаний - по дальнейшему наблюдению, лечению и медицинской реабилитации.</w:t>
      </w:r>
    </w:p>
    <w:p>
      <w:pPr>
        <w:pStyle w:val="0"/>
        <w:spacing w:before="200" w:line-rule="auto"/>
        <w:ind w:firstLine="540"/>
        <w:jc w:val="both"/>
      </w:pPr>
      <w:r>
        <w:rPr>
          <w:sz w:val="20"/>
        </w:rPr>
        <w:t xml:space="preserve">33. По итогам проведения периодических осмотров медицинская организация не позднее чем через 30 дней после завершения проведения периодических осмотров должна обобщить их результаты и составить заключительный акт в соответствии с </w:t>
      </w:r>
      <w:hyperlink w:history="0" r:id="rId60" w:tooltip="Приказ Минздрава России от 28.01.2021 N 29н (ред. от 02.10.2024)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quot; (Зарегистрировано {КонсультантПлюс}">
        <w:r>
          <w:rPr>
            <w:sz w:val="20"/>
            <w:color w:val="0000ff"/>
          </w:rPr>
          <w:t xml:space="preserve">Порядком</w:t>
        </w:r>
      </w:hyperlink>
      <w:r>
        <w:rPr>
          <w:sz w:val="20"/>
        </w:rPr>
        <w:t xml:space="preserve"> N 29н.</w:t>
      </w:r>
    </w:p>
    <w:p>
      <w:pPr>
        <w:pStyle w:val="0"/>
        <w:spacing w:before="200" w:line-rule="auto"/>
        <w:ind w:firstLine="540"/>
        <w:jc w:val="both"/>
      </w:pPr>
      <w:r>
        <w:rPr>
          <w:sz w:val="20"/>
        </w:rPr>
        <w:t xml:space="preserve">Заключительный акт должен быть подписан председателем врачебной комиссии и заверен печатью медицинской организации (при наличии).</w:t>
      </w:r>
    </w:p>
    <w:p>
      <w:pPr>
        <w:pStyle w:val="0"/>
        <w:spacing w:before="200" w:line-rule="auto"/>
        <w:ind w:firstLine="540"/>
        <w:jc w:val="both"/>
      </w:pPr>
      <w:r>
        <w:rPr>
          <w:sz w:val="20"/>
        </w:rPr>
        <w:t xml:space="preserve">34. Для оформления заключительного акта работодатель должен представлять в медицинскую организацию общие сведения об организации гражданской авиации, необходимые для составления заключительного акта по результатам периодического медицинского осмотра (рекомендуемый образец приведен в </w:t>
      </w:r>
      <w:hyperlink w:history="0" w:anchor="P432" w:tooltip="Общие сведения">
        <w:r>
          <w:rPr>
            <w:sz w:val="20"/>
            <w:color w:val="0000ff"/>
          </w:rPr>
          <w:t xml:space="preserve">приложении N 5</w:t>
        </w:r>
      </w:hyperlink>
      <w:r>
        <w:rPr>
          <w:sz w:val="20"/>
        </w:rPr>
        <w:t xml:space="preserve"> к настоящему Порядку).</w:t>
      </w:r>
    </w:p>
    <w:p>
      <w:pPr>
        <w:pStyle w:val="0"/>
        <w:spacing w:before="200" w:line-rule="auto"/>
        <w:ind w:firstLine="540"/>
        <w:jc w:val="both"/>
      </w:pPr>
      <w:r>
        <w:rPr>
          <w:sz w:val="20"/>
        </w:rPr>
        <w:t xml:space="preserve">35. Заключительный акт (в том числе в электронной форме) должен быть составлен в 5 экземплярах, которые должны быть направлены медицинской организацией в течение 5 рабочих дней с даты утверждения акта лицам, указанным в </w:t>
      </w:r>
      <w:hyperlink w:history="0" r:id="rId61" w:tooltip="Приказ Минздрава России от 28.01.2021 N 29н (ред. от 02.10.2024)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quot; (Зарегистрировано {КонсультантПлюс}">
        <w:r>
          <w:rPr>
            <w:sz w:val="20"/>
            <w:color w:val="0000ff"/>
          </w:rPr>
          <w:t xml:space="preserve">Порядке</w:t>
        </w:r>
      </w:hyperlink>
      <w:r>
        <w:rPr>
          <w:sz w:val="20"/>
        </w:rPr>
        <w:t xml:space="preserve"> N 29н.</w:t>
      </w:r>
    </w:p>
    <w:p>
      <w:pPr>
        <w:pStyle w:val="0"/>
        <w:spacing w:before="200" w:line-rule="auto"/>
        <w:ind w:firstLine="540"/>
        <w:jc w:val="both"/>
      </w:pPr>
      <w:r>
        <w:rPr>
          <w:sz w:val="20"/>
        </w:rPr>
        <w:t xml:space="preserve">36. Специалисты авиационного персонала ГА, имеющие заключения о предварительном диагнозе профессионального заболевания, в месячный срок со дня получения заключения должны направляться медицинской организацией в центр профессиональной патологии в соответствии с </w:t>
      </w:r>
      <w:hyperlink w:history="0" r:id="rId62" w:tooltip="Приказ Минздрава России от 13.11.2012 N 911н (ред. от 21.02.2020) &quot;Об утверждении порядка оказания медицинской помощи при острых и хронических профессиональных заболеваниях&quot; (Зарегистрировано в Минюсте России 21.12.2012 N 26268) {КонсультантПлюс}">
        <w:r>
          <w:rPr>
            <w:sz w:val="20"/>
            <w:color w:val="0000ff"/>
          </w:rPr>
          <w:t xml:space="preserve">Порядком</w:t>
        </w:r>
      </w:hyperlink>
      <w:r>
        <w:rPr>
          <w:sz w:val="20"/>
        </w:rPr>
        <w:t xml:space="preserve"> оказания медицинской помощи при острых и хронических профессиональных заболеваниях, утвержденным приказом Министерства здравоохранения Российской Федерации от 13 ноября 2012 г. N 911н &lt;10&gt;.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&lt;10&gt; Зарегистрирован Министерством юстиции Российской Федерации 21 декабря 2012 г., регистрационный N 26268, с изменениями, внесенными приказом Министерства здравоохранения Российской Федерации от 21 февраля 2020 г. N 114н (зарегистрирован Министерством юстиции Российской Федерации 28 июля 2020 г., регистрационный N 59083).</w:t>
      </w:r>
    </w:p>
    <w:p>
      <w:pPr>
        <w:pStyle w:val="0"/>
        <w:jc w:val="both"/>
      </w:pPr>
      <w:r>
        <w:rPr>
          <w:sz w:val="20"/>
        </w:rPr>
      </w:r>
    </w:p>
    <w:p>
      <w:pPr>
        <w:pStyle w:val="2"/>
        <w:outlineLvl w:val="1"/>
        <w:jc w:val="center"/>
      </w:pPr>
      <w:r>
        <w:rPr>
          <w:sz w:val="20"/>
        </w:rPr>
        <w:t xml:space="preserve">IV. Проведение химико-токсикологических исследований</w:t>
      </w:r>
    </w:p>
    <w:p>
      <w:pPr>
        <w:pStyle w:val="0"/>
        <w:jc w:val="both"/>
      </w:pPr>
      <w:r>
        <w:rPr>
          <w:sz w:val="20"/>
        </w:rPr>
      </w:r>
    </w:p>
    <w:p>
      <w:pPr>
        <w:pStyle w:val="0"/>
        <w:ind w:firstLine="540"/>
        <w:jc w:val="both"/>
      </w:pPr>
      <w:r>
        <w:rPr>
          <w:sz w:val="20"/>
        </w:rPr>
        <w:t xml:space="preserve">37. Предварительный осмотр и периодический осмотр специалистов из числа авиационного персонала ГА и лиц, претендующих на замещение должностей из числа специалистов авиационного персонала ГА, включают ХТИ.</w:t>
      </w:r>
    </w:p>
    <w:p>
      <w:pPr>
        <w:pStyle w:val="0"/>
        <w:spacing w:before="200" w:line-rule="auto"/>
        <w:ind w:firstLine="540"/>
        <w:jc w:val="both"/>
      </w:pPr>
      <w:r>
        <w:rPr>
          <w:sz w:val="20"/>
        </w:rPr>
        <w:t xml:space="preserve">38. Целью ХТИ является раннее выявление немедицинского потребления наркотических средств, психотропных веществ и их метаболитов.</w:t>
      </w:r>
    </w:p>
    <w:p>
      <w:pPr>
        <w:pStyle w:val="0"/>
        <w:spacing w:before="200" w:line-rule="auto"/>
        <w:ind w:firstLine="540"/>
        <w:jc w:val="both"/>
      </w:pPr>
      <w:r>
        <w:rPr>
          <w:sz w:val="20"/>
        </w:rPr>
        <w:t xml:space="preserve">39. ХТИ проводятся в целях обнаружения и последующей идентификации в образцах биологических объектов (мочи) работника наркотических средств, психотропных веществ и их метаболитов.</w:t>
      </w:r>
    </w:p>
    <w:p>
      <w:pPr>
        <w:pStyle w:val="0"/>
        <w:spacing w:before="200" w:line-rule="auto"/>
        <w:ind w:firstLine="540"/>
        <w:jc w:val="both"/>
      </w:pPr>
      <w:r>
        <w:rPr>
          <w:sz w:val="20"/>
        </w:rPr>
        <w:t xml:space="preserve">40. ХТИ должны проводиться в два этапа:</w:t>
      </w:r>
    </w:p>
    <w:p>
      <w:pPr>
        <w:pStyle w:val="0"/>
        <w:spacing w:before="200" w:line-rule="auto"/>
        <w:ind w:firstLine="540"/>
        <w:jc w:val="both"/>
      </w:pPr>
      <w:r>
        <w:rPr>
          <w:sz w:val="20"/>
        </w:rPr>
        <w:t xml:space="preserve">1) предварительные ХТИ, направленные на получение объективных результатов выявления в образцах биологических жидкостей человека наркотических средств, психотропных веществ и их метаболитов;</w:t>
      </w:r>
    </w:p>
    <w:p>
      <w:pPr>
        <w:pStyle w:val="0"/>
        <w:spacing w:before="200" w:line-rule="auto"/>
        <w:ind w:firstLine="540"/>
        <w:jc w:val="both"/>
      </w:pPr>
      <w:r>
        <w:rPr>
          <w:sz w:val="20"/>
        </w:rPr>
        <w:t xml:space="preserve">2) подтверждающие ХТИ, направленные на идентификацию в образцах биологических жидкостей человека наркотических средств, психотропных веществ и их метаболитов.</w:t>
      </w:r>
    </w:p>
    <w:p>
      <w:pPr>
        <w:pStyle w:val="0"/>
        <w:spacing w:before="200" w:line-rule="auto"/>
        <w:ind w:firstLine="540"/>
        <w:jc w:val="both"/>
      </w:pPr>
      <w:r>
        <w:rPr>
          <w:sz w:val="20"/>
        </w:rPr>
        <w:t xml:space="preserve">41. ХТИ образца биологического объекта в обязательном порядке должны проводиться на следующие химические вещества, включая их производные, метаболиты и аналоги: опиаты, растительные и синтетические каннабиноиды, фенилалкиламины (амфетамин, метамфетамин), синтетические катиноны, кокаин, метадон, бензодиазепины, барбитураты.</w:t>
      </w:r>
    </w:p>
    <w:p>
      <w:pPr>
        <w:pStyle w:val="0"/>
        <w:spacing w:before="200" w:line-rule="auto"/>
        <w:ind w:firstLine="540"/>
        <w:jc w:val="both"/>
      </w:pPr>
      <w:r>
        <w:rPr>
          <w:sz w:val="20"/>
        </w:rPr>
        <w:t xml:space="preserve">42. Биологическим объектом для предварительных ХТИ и подтверждающих ХТИ является моча.</w:t>
      </w:r>
    </w:p>
    <w:p>
      <w:pPr>
        <w:pStyle w:val="0"/>
        <w:spacing w:before="200" w:line-rule="auto"/>
        <w:ind w:firstLine="540"/>
        <w:jc w:val="both"/>
      </w:pPr>
      <w:r>
        <w:rPr>
          <w:sz w:val="20"/>
        </w:rPr>
        <w:t xml:space="preserve">43. Отбор, транспортировка и хранение биологического объекта для проведения предварительных и подтверждающих ХТИ должны осуществляться в соответствии с </w:t>
      </w:r>
      <w:hyperlink w:history="0" r:id="rId63" w:tooltip="Приказ Минздравсоцразвития РФ от 27.01.2006 N 40 &quot;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quot; (вместе с &quot;Положением об организации работы химико-токсикологической лаборатории наркологического диспансера (наркологической больницы)&quot;, &quot;Инструкцией по заполнению учетной формы N 452/у-06 &quot;Направление на химико-токсикологические исследования&quot;, &quot;Инструкцией по з ------------ Утратил силу или отменен {КонсультантПлюс}">
        <w:r>
          <w:rPr>
            <w:sz w:val="20"/>
            <w:color w:val="0000ff"/>
          </w:rPr>
          <w:t xml:space="preserve">приказом</w:t>
        </w:r>
      </w:hyperlink>
      <w:r>
        <w:rPr>
          <w:sz w:val="20"/>
        </w:rPr>
        <w:t xml:space="preserve"> Министерства здравоохранения и социального развития Российской Федерации от 27 января 2006 г. N 40 "Об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 (далее - приказ Минздравсоцразвития России N 40) &lt;11&gt;.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&lt;11&gt; Зарегистрирован Министерством юстиции Российской Федерации 26 февраля 2006 г., регистрационный N 7544.</w:t>
      </w:r>
    </w:p>
    <w:p>
      <w:pPr>
        <w:pStyle w:val="0"/>
        <w:jc w:val="both"/>
      </w:pPr>
      <w:r>
        <w:rPr>
          <w:sz w:val="20"/>
        </w:rPr>
      </w:r>
    </w:p>
    <w:p>
      <w:pPr>
        <w:pStyle w:val="0"/>
        <w:ind w:firstLine="540"/>
        <w:jc w:val="both"/>
      </w:pPr>
      <w:r>
        <w:rPr>
          <w:sz w:val="20"/>
        </w:rPr>
        <w:t xml:space="preserve">44. Предварительные ХТИ должны проводиться иммунохимическими методами, исключающими визуальную оценку результатов предварительных ХТИ, одновременно на все вещества и не позднее двух часов с момента отбора образца биологического объекта (мочи) с применением анализаторов, обеспечивающих регистрацию и количественную оценку результатов предварительных ХТИ путем сравнения полученного результата с калибровочной кривой.</w:t>
      </w:r>
    </w:p>
    <w:p>
      <w:pPr>
        <w:pStyle w:val="0"/>
        <w:spacing w:before="200" w:line-rule="auto"/>
        <w:ind w:firstLine="540"/>
        <w:jc w:val="both"/>
      </w:pPr>
      <w:r>
        <w:rPr>
          <w:sz w:val="20"/>
        </w:rPr>
        <w:t xml:space="preserve">45. Результаты предварительных ХТИ должны заноситься в журнал регистрации отбора биологических объектов, </w:t>
      </w:r>
      <w:hyperlink w:history="0" r:id="rId64" w:tooltip="Приказ Минздравсоцразвития РФ от 27.01.2006 N 40 &quot;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quot; (вместе с &quot;Положением об организации работы химико-токсикологической лаборатории наркологического диспансера (наркологической больницы)&quot;, &quot;Инструкцией по заполнению учетной формы N 452/у-06 &quot;Направление на химико-токсикологические исследования&quot;, &quot;Инструкцией по з ------------ Утратил силу или отменен {КонсультантПлюс}">
        <w:r>
          <w:rPr>
            <w:sz w:val="20"/>
            <w:color w:val="0000ff"/>
          </w:rPr>
          <w:t xml:space="preserve">форма</w:t>
        </w:r>
      </w:hyperlink>
      <w:r>
        <w:rPr>
          <w:sz w:val="20"/>
        </w:rPr>
        <w:t xml:space="preserve"> которой установлена приказом Минздравсоцразвития России N 40.</w:t>
      </w:r>
    </w:p>
    <w:p>
      <w:pPr>
        <w:pStyle w:val="0"/>
        <w:spacing w:before="200" w:line-rule="auto"/>
        <w:ind w:firstLine="540"/>
        <w:jc w:val="both"/>
      </w:pPr>
      <w:r>
        <w:rPr>
          <w:sz w:val="20"/>
        </w:rPr>
        <w:t xml:space="preserve">46. При получении отрицательных результатов предварительных ХТИ образец биологического материала должен быть утилизирован, результаты предварительных ХТИ должны оформляться в соответствии со справкой о результатах химико-токсикологических исследований, </w:t>
      </w:r>
      <w:hyperlink w:history="0" r:id="rId65" w:tooltip="Приказ Минздравсоцразвития РФ от 27.01.2006 N 40 &quot;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quot; (вместе с &quot;Положением об организации работы химико-токсикологической лаборатории наркологического диспансера (наркологической больницы)&quot;, &quot;Инструкцией по заполнению учетной формы N 452/у-06 &quot;Направление на химико-токсикологические исследования&quot;, &quot;Инструкцией по з ------------ Утратил силу или отменен {КонсультантПлюс}">
        <w:r>
          <w:rPr>
            <w:sz w:val="20"/>
            <w:color w:val="0000ff"/>
          </w:rPr>
          <w:t xml:space="preserve">форма</w:t>
        </w:r>
      </w:hyperlink>
      <w:r>
        <w:rPr>
          <w:sz w:val="20"/>
        </w:rPr>
        <w:t xml:space="preserve"> которой установлена приказом Минздравсоцразвития России N 40.</w:t>
      </w:r>
    </w:p>
    <w:p>
      <w:pPr>
        <w:pStyle w:val="0"/>
        <w:spacing w:before="200" w:line-rule="auto"/>
        <w:ind w:firstLine="540"/>
        <w:jc w:val="both"/>
      </w:pPr>
      <w:r>
        <w:rPr>
          <w:sz w:val="20"/>
        </w:rPr>
        <w:t xml:space="preserve">47. При получении положительных результатов предварительных ХТИ медицинская организация должна организовать отправку биологического материала для проведения подтверждающих ХТИ в химико-токсикологическую лабораторию медицинской организации, уполномоченной на проведение такого рода исследований.</w:t>
      </w:r>
    </w:p>
    <w:p>
      <w:pPr>
        <w:pStyle w:val="0"/>
        <w:spacing w:before="200" w:line-rule="auto"/>
        <w:ind w:firstLine="540"/>
        <w:jc w:val="both"/>
      </w:pPr>
      <w:r>
        <w:rPr>
          <w:sz w:val="20"/>
        </w:rPr>
        <w:t xml:space="preserve">48. Подтверждающие ХТИ должны проводиться в химико-токсикологической лаборатории методами газовой и (или) жидкостной хроматографии с масс-спектрометрическим детектированием с помощью технических средств, обеспечивающих регистрацию и обработку результатов исследования путем сравнения полученного результата с данными электронных библиотек масс-спектров.</w:t>
      </w:r>
    </w:p>
    <w:p>
      <w:pPr>
        <w:pStyle w:val="0"/>
        <w:spacing w:before="200" w:line-rule="auto"/>
        <w:ind w:firstLine="540"/>
        <w:jc w:val="both"/>
      </w:pPr>
      <w:r>
        <w:rPr>
          <w:sz w:val="20"/>
        </w:rPr>
        <w:t xml:space="preserve">49. Срок для получения результатов, подтверждающих ХТИ, не должен превышать 10 календарных дней.</w:t>
      </w:r>
    </w:p>
    <w:p>
      <w:pPr>
        <w:pStyle w:val="0"/>
        <w:spacing w:before="200" w:line-rule="auto"/>
        <w:ind w:firstLine="540"/>
        <w:jc w:val="both"/>
      </w:pPr>
      <w:r>
        <w:rPr>
          <w:sz w:val="20"/>
        </w:rPr>
        <w:t xml:space="preserve">50. По результатам подтверждающих ХТИ должна оформляться </w:t>
      </w:r>
      <w:hyperlink w:history="0" r:id="rId66" w:tooltip="Приказ Минздравсоцразвития РФ от 27.01.2006 N 40 &quot;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quot; (вместе с &quot;Положением об организации работы химико-токсикологической лаборатории наркологического диспансера (наркологической больницы)&quot;, &quot;Инструкцией по заполнению учетной формы N 452/у-06 &quot;Направление на химико-токсикологические исследования&quot;, &quot;Инструкцией по з ------------ Утратил силу или отменен {КонсультантПлюс}">
        <w:r>
          <w:rPr>
            <w:sz w:val="20"/>
            <w:color w:val="0000ff"/>
          </w:rPr>
          <w:t xml:space="preserve">справка</w:t>
        </w:r>
      </w:hyperlink>
      <w:r>
        <w:rPr>
          <w:sz w:val="20"/>
        </w:rPr>
        <w:t xml:space="preserve"> о результатах химико-токсикологических исследований, заполненная в соответствии с </w:t>
      </w:r>
      <w:hyperlink w:history="0" r:id="rId67" w:tooltip="Приказ Минздравсоцразвития РФ от 27.01.2006 N 40 &quot;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quot; (вместе с &quot;Положением об организации работы химико-токсикологической лаборатории наркологического диспансера (наркологической больницы)&quot;, &quot;Инструкцией по заполнению учетной формы N 452/у-06 &quot;Направление на химико-токсикологические исследования&quot;, &quot;Инструкцией по з ------------ Утратил силу или отменен {КонсультантПлюс}">
        <w:r>
          <w:rPr>
            <w:sz w:val="20"/>
            <w:color w:val="0000ff"/>
          </w:rPr>
          <w:t xml:space="preserve">приказом</w:t>
        </w:r>
      </w:hyperlink>
      <w:r>
        <w:rPr>
          <w:sz w:val="20"/>
        </w:rPr>
        <w:t xml:space="preserve"> Минздравсоцразвития России N 40.</w:t>
      </w:r>
    </w:p>
    <w:p>
      <w:pPr>
        <w:pStyle w:val="0"/>
        <w:spacing w:before="200" w:line-rule="auto"/>
        <w:ind w:firstLine="540"/>
        <w:jc w:val="both"/>
      </w:pPr>
      <w:r>
        <w:rPr>
          <w:sz w:val="20"/>
        </w:rPr>
        <w:t xml:space="preserve">51. По желанию специалиста из числа авиационного персонала ГА или лица, претендующего на замещение должности специалиста авиационного персонала ГА, медицинской организацией, проводившей медицинский осмотр, выдается копия справки о результатах предварительных и (или) подтверждающих ХТИ.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Порядку</w:t>
      </w:r>
    </w:p>
    <w:p>
      <w:pPr>
        <w:pStyle w:val="0"/>
        <w:jc w:val="both"/>
      </w:pPr>
      <w:r>
        <w:rPr>
          <w:sz w:val="20"/>
        </w:rPr>
      </w:r>
    </w:p>
    <w:bookmarkStart w:id="227" w:name="P227"/>
    <w:bookmarkEnd w:id="227"/>
    <w:p>
      <w:pPr>
        <w:pStyle w:val="2"/>
        <w:jc w:val="center"/>
      </w:pPr>
      <w:r>
        <w:rPr>
          <w:sz w:val="20"/>
        </w:rPr>
        <w:t xml:space="preserve">ПЕРИОДИЧНОСТЬ</w:t>
      </w:r>
    </w:p>
    <w:p>
      <w:pPr>
        <w:pStyle w:val="2"/>
        <w:jc w:val="center"/>
      </w:pPr>
      <w:r>
        <w:rPr>
          <w:sz w:val="20"/>
        </w:rPr>
        <w:t xml:space="preserve">ОБЯЗАТЕЛЬНЫХ МЕДИЦИНСКИХ ОСМОТРОВ, УЧАСТИЕ ВРАЧЕЙ</w:t>
      </w:r>
    </w:p>
    <w:p>
      <w:pPr>
        <w:pStyle w:val="2"/>
        <w:jc w:val="center"/>
      </w:pPr>
      <w:r>
        <w:rPr>
          <w:sz w:val="20"/>
        </w:rPr>
        <w:t xml:space="preserve">СПЕЦИАЛИСТОВ, ЛАБОРАТОРНЫЕ И ФУНКЦИОНАЛЬНЫЕ ИССЛЕДОВАНИЯ</w:t>
      </w:r>
    </w:p>
    <w:p>
      <w:pPr>
        <w:pStyle w:val="2"/>
        <w:jc w:val="center"/>
      </w:pPr>
      <w:r>
        <w:rPr>
          <w:sz w:val="20"/>
        </w:rPr>
        <w:t xml:space="preserve">ПРИ ПРОВЕДЕНИИ ОБЯЗАТЕЛЬНЫХ ПРЕДВАРИТЕЛЬНЫХ И ПЕРИОДИЧЕСКИХ</w:t>
      </w:r>
    </w:p>
    <w:p>
      <w:pPr>
        <w:pStyle w:val="2"/>
        <w:jc w:val="center"/>
      </w:pPr>
      <w:r>
        <w:rPr>
          <w:sz w:val="20"/>
        </w:rPr>
        <w:t xml:space="preserve">МЕДИЦИНСКИХ ОСМОТРОВ СПЕЦИАЛИСТОВ ИЗ ЧИСЛА АВИАЦИОННОГО</w:t>
      </w:r>
    </w:p>
    <w:p>
      <w:pPr>
        <w:pStyle w:val="2"/>
        <w:jc w:val="center"/>
      </w:pPr>
      <w:r>
        <w:rPr>
          <w:sz w:val="20"/>
        </w:rPr>
        <w:t xml:space="preserve">ПЕРСОНАЛА ГРАЖДАНСКОЙ АВИАЦИИ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68"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color w:val="392c69"/>
              </w:rPr>
              <w:t xml:space="preserve"> Минтранса России от 31.03.2025 N 111)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1247"/>
        <w:gridCol w:w="2041"/>
        <w:gridCol w:w="1587"/>
        <w:gridCol w:w="1644"/>
      </w:tblGrid>
      <w:tr>
        <w:tc>
          <w:tcPr>
            <w:tcW w:w="2494" w:type="dxa"/>
            <w:vMerge w:val="restart"/>
          </w:tcPr>
          <w:p>
            <w:pPr>
              <w:pStyle w:val="0"/>
              <w:jc w:val="center"/>
            </w:pPr>
            <w:r>
              <w:rPr>
                <w:sz w:val="20"/>
              </w:rPr>
              <w:t xml:space="preserve">Категория специалистов авиационного персонала гражданской авиации</w:t>
            </w:r>
          </w:p>
        </w:tc>
        <w:tc>
          <w:tcPr>
            <w:tcW w:w="1247" w:type="dxa"/>
            <w:vMerge w:val="restart"/>
          </w:tcPr>
          <w:p>
            <w:pPr>
              <w:pStyle w:val="0"/>
              <w:jc w:val="center"/>
            </w:pPr>
            <w:r>
              <w:rPr>
                <w:sz w:val="20"/>
              </w:rPr>
              <w:t xml:space="preserve">Периодичность осмотров в соответствии с настоящим </w:t>
            </w:r>
            <w:hyperlink w:history="0" w:anchor="P35" w:tooltip="ПОРЯДОК">
              <w:r>
                <w:rPr>
                  <w:sz w:val="20"/>
                  <w:color w:val="0000ff"/>
                </w:rPr>
                <w:t xml:space="preserve">Порядком</w:t>
              </w:r>
            </w:hyperlink>
          </w:p>
        </w:tc>
        <w:tc>
          <w:tcPr>
            <w:tcW w:w="2041" w:type="dxa"/>
            <w:vMerge w:val="restart"/>
          </w:tcPr>
          <w:p>
            <w:pPr>
              <w:pStyle w:val="0"/>
              <w:jc w:val="center"/>
            </w:pPr>
            <w:r>
              <w:rPr>
                <w:sz w:val="20"/>
              </w:rPr>
              <w:t xml:space="preserve">Периодичность и объем осмотров, проводимых в соответствии со </w:t>
            </w:r>
            <w:hyperlink w:history="0" r:id="rId69" w:tooltip="&quot;Трудовой кодекс Российской Федерации&quot; от 30.12.2001 N 197-ФЗ (ред. от 31.07.2025) (с изм. и доп., вступ. в силу с 01.09.2025) {КонсультантПлюс}">
              <w:r>
                <w:rPr>
                  <w:sz w:val="20"/>
                  <w:color w:val="0000ff"/>
                </w:rPr>
                <w:t xml:space="preserve">статьей 220</w:t>
              </w:r>
            </w:hyperlink>
            <w:r>
              <w:rPr>
                <w:sz w:val="20"/>
              </w:rPr>
              <w:t xml:space="preserve"> Трудового кодекса Российской Федерации</w:t>
            </w:r>
          </w:p>
        </w:tc>
        <w:tc>
          <w:tcPr>
            <w:gridSpan w:val="2"/>
            <w:tcW w:w="3231" w:type="dxa"/>
          </w:tcPr>
          <w:p>
            <w:pPr>
              <w:pStyle w:val="0"/>
              <w:jc w:val="center"/>
            </w:pPr>
            <w:r>
              <w:rPr>
                <w:sz w:val="20"/>
              </w:rPr>
              <w:t xml:space="preserve">Дополнительно к обязательному объему обследования</w:t>
            </w:r>
          </w:p>
        </w:tc>
      </w:tr>
      <w:tr>
        <w:tc>
          <w:tcPr>
            <w:vMerge w:val="continue"/>
          </w:tcPr>
          <w:p/>
        </w:tc>
        <w:tc>
          <w:tcPr>
            <w:vMerge w:val="continue"/>
          </w:tcPr>
          <w:p/>
        </w:tc>
        <w:tc>
          <w:tcPr>
            <w:vMerge w:val="continue"/>
          </w:tcPr>
          <w:p/>
        </w:tc>
        <w:tc>
          <w:tcPr>
            <w:tcW w:w="1587" w:type="dxa"/>
          </w:tcPr>
          <w:p>
            <w:pPr>
              <w:pStyle w:val="0"/>
              <w:jc w:val="center"/>
            </w:pPr>
            <w:r>
              <w:rPr>
                <w:sz w:val="20"/>
              </w:rPr>
              <w:t xml:space="preserve">Врачи-специалисты</w:t>
            </w:r>
          </w:p>
        </w:tc>
        <w:tc>
          <w:tcPr>
            <w:tcW w:w="1644" w:type="dxa"/>
          </w:tcPr>
          <w:p>
            <w:pPr>
              <w:pStyle w:val="0"/>
              <w:jc w:val="center"/>
            </w:pPr>
            <w:r>
              <w:rPr>
                <w:sz w:val="20"/>
              </w:rPr>
              <w:t xml:space="preserve">Лабораторные и функциональные исследования</w:t>
            </w:r>
          </w:p>
        </w:tc>
      </w:tr>
      <w:tr>
        <w:tc>
          <w:tcPr>
            <w:tcW w:w="2494" w:type="dxa"/>
          </w:tcPr>
          <w:p>
            <w:pPr>
              <w:pStyle w:val="0"/>
              <w:jc w:val="center"/>
            </w:pPr>
            <w:r>
              <w:rPr>
                <w:sz w:val="20"/>
              </w:rPr>
              <w:t xml:space="preserve">1</w:t>
            </w:r>
          </w:p>
        </w:tc>
        <w:tc>
          <w:tcPr>
            <w:tcW w:w="1247" w:type="dxa"/>
          </w:tcPr>
          <w:p>
            <w:pPr>
              <w:pStyle w:val="0"/>
              <w:jc w:val="center"/>
            </w:pPr>
            <w:r>
              <w:rPr>
                <w:sz w:val="20"/>
              </w:rPr>
              <w:t xml:space="preserve">2</w:t>
            </w:r>
          </w:p>
        </w:tc>
        <w:tc>
          <w:tcPr>
            <w:tcW w:w="2041" w:type="dxa"/>
          </w:tcPr>
          <w:p>
            <w:pPr>
              <w:pStyle w:val="0"/>
              <w:jc w:val="center"/>
            </w:pPr>
            <w:r>
              <w:rPr>
                <w:sz w:val="20"/>
              </w:rPr>
              <w:t xml:space="preserve">3</w:t>
            </w:r>
          </w:p>
        </w:tc>
        <w:tc>
          <w:tcPr>
            <w:tcW w:w="1587" w:type="dxa"/>
          </w:tcPr>
          <w:p>
            <w:pPr>
              <w:pStyle w:val="0"/>
              <w:jc w:val="center"/>
            </w:pPr>
            <w:r>
              <w:rPr>
                <w:sz w:val="20"/>
              </w:rPr>
              <w:t xml:space="preserve">4</w:t>
            </w:r>
          </w:p>
        </w:tc>
        <w:tc>
          <w:tcPr>
            <w:tcW w:w="1644" w:type="dxa"/>
          </w:tcPr>
          <w:p>
            <w:pPr>
              <w:pStyle w:val="0"/>
              <w:jc w:val="center"/>
            </w:pPr>
            <w:r>
              <w:rPr>
                <w:sz w:val="20"/>
              </w:rPr>
              <w:t xml:space="preserve">5</w:t>
            </w:r>
          </w:p>
        </w:tc>
      </w:tr>
      <w:tr>
        <w:tc>
          <w:tcPr>
            <w:tcW w:w="2494" w:type="dxa"/>
            <w:vAlign w:val="center"/>
          </w:tcPr>
          <w:p>
            <w:pPr>
              <w:pStyle w:val="0"/>
            </w:pPr>
            <w:r>
              <w:rPr>
                <w:sz w:val="20"/>
              </w:rPr>
              <w:t xml:space="preserve">1. Специалисты, входящие в состав летного экипажа гражданской авиации:</w:t>
            </w:r>
          </w:p>
        </w:tc>
        <w:tc>
          <w:tcPr>
            <w:tcW w:w="1247" w:type="dxa"/>
            <w:vAlign w:val="center"/>
            <w:vMerge w:val="restart"/>
          </w:tcPr>
          <w:p>
            <w:pPr>
              <w:pStyle w:val="0"/>
              <w:jc w:val="center"/>
            </w:pPr>
            <w:r>
              <w:rPr>
                <w:sz w:val="20"/>
              </w:rPr>
              <w:t xml:space="preserve">В соответствии с </w:t>
            </w:r>
            <w:hyperlink w:history="0" w:anchor="P70" w:tooltip="6. Специалистам авиационного персонала ГА, входящим в состав летного экипажа пилотируемых гражданских воздушных судов, за исключением сверхлегких пилотируемых гражданских воздушных судов с массой конструкции 115 килограммов и менее &lt;4&gt;, специалистам авиационного персонала ГА, входящим в состав экипажа беспилотных гражданских воздушных судов, за исключением беспилотных гражданских воздушных судов с максимальной взлетной массой 30 килограммов и менее &lt;5&gt;, специалистам авиационного персонала ГА, осуществляю...">
              <w:r>
                <w:rPr>
                  <w:sz w:val="20"/>
                  <w:color w:val="0000ff"/>
                </w:rPr>
                <w:t xml:space="preserve">пунктом 6</w:t>
              </w:r>
            </w:hyperlink>
            <w:r>
              <w:rPr>
                <w:sz w:val="20"/>
              </w:rPr>
              <w:t xml:space="preserve"> настоящего Порядка</w:t>
            </w:r>
          </w:p>
        </w:tc>
        <w:tc>
          <w:tcPr>
            <w:tcW w:w="2041" w:type="dxa"/>
            <w:vAlign w:val="center"/>
            <w:tcBorders>
              <w:bottom w:val="nil"/>
            </w:tcBorders>
            <w:vMerge w:val="restart"/>
          </w:tcPr>
          <w:p>
            <w:pPr>
              <w:pStyle w:val="0"/>
              <w:jc w:val="center"/>
            </w:pPr>
            <w:r>
              <w:rPr>
                <w:sz w:val="20"/>
              </w:rPr>
              <w:t xml:space="preserve">С учетом работ во вредных и (или) опасных условиях труда</w:t>
            </w:r>
          </w:p>
        </w:tc>
        <w:tc>
          <w:tcPr>
            <w:gridSpan w:val="2"/>
            <w:tcW w:w="3231" w:type="dxa"/>
            <w:vAlign w:val="center"/>
            <w:vMerge w:val="restart"/>
          </w:tcPr>
          <w:p>
            <w:pPr>
              <w:pStyle w:val="0"/>
              <w:jc w:val="center"/>
            </w:pPr>
            <w:r>
              <w:rPr>
                <w:sz w:val="20"/>
              </w:rPr>
              <w:t xml:space="preserve">нет</w:t>
            </w:r>
          </w:p>
        </w:tc>
      </w:tr>
      <w:tr>
        <w:tc>
          <w:tcPr>
            <w:tcW w:w="2494" w:type="dxa"/>
            <w:vAlign w:val="center"/>
          </w:tcPr>
          <w:p>
            <w:pPr>
              <w:pStyle w:val="0"/>
            </w:pPr>
            <w:r>
              <w:rPr>
                <w:sz w:val="20"/>
              </w:rPr>
              <w:t xml:space="preserve">а) пилот, штурман, бортрадист, бортинженер (бортмеханик)</w:t>
            </w:r>
          </w:p>
        </w:tc>
        <w:tc>
          <w:tcPr>
            <w:vMerge w:val="continue"/>
          </w:tcPr>
          <w:p/>
        </w:tc>
        <w:tc>
          <w:tcPr>
            <w:tcBorders>
              <w:bottom w:val="nil"/>
            </w:tcBorders>
            <w:vMerge w:val="continue"/>
          </w:tcPr>
          <w:p/>
        </w:tc>
        <w:tc>
          <w:tcPr>
            <w:gridSpan w:val="2"/>
            <w:vMerge w:val="continue"/>
          </w:tcPr>
          <w:p/>
        </w:tc>
      </w:tr>
      <w:tr>
        <w:tc>
          <w:tcPr>
            <w:tcW w:w="2494" w:type="dxa"/>
            <w:vAlign w:val="center"/>
          </w:tcPr>
          <w:p>
            <w:pPr>
              <w:pStyle w:val="0"/>
            </w:pPr>
            <w:r>
              <w:rPr>
                <w:sz w:val="20"/>
              </w:rPr>
              <w:t xml:space="preserve">б) внешний пилот</w:t>
            </w:r>
          </w:p>
        </w:tc>
        <w:tc>
          <w:tcPr>
            <w:vMerge w:val="continue"/>
          </w:tcPr>
          <w:p/>
        </w:tc>
        <w:tc>
          <w:tcPr>
            <w:tcBorders>
              <w:bottom w:val="nil"/>
            </w:tcBorders>
            <w:vMerge w:val="continue"/>
          </w:tcPr>
          <w:p/>
        </w:tc>
        <w:tc>
          <w:tcPr>
            <w:gridSpan w:val="2"/>
            <w:vMerge w:val="continue"/>
          </w:tcPr>
          <w:p/>
        </w:tc>
      </w:tr>
      <w:tr>
        <w:tc>
          <w:tcPr>
            <w:tcW w:w="2494" w:type="dxa"/>
            <w:vAlign w:val="center"/>
          </w:tcPr>
          <w:p>
            <w:pPr>
              <w:pStyle w:val="0"/>
            </w:pPr>
            <w:r>
              <w:rPr>
                <w:sz w:val="20"/>
              </w:rPr>
              <w:t xml:space="preserve">в) летчик-наблюдатель</w:t>
            </w:r>
          </w:p>
        </w:tc>
        <w:tc>
          <w:tcPr>
            <w:vMerge w:val="continue"/>
          </w:tcPr>
          <w:p/>
        </w:tc>
        <w:tc>
          <w:tcPr>
            <w:tcBorders>
              <w:bottom w:val="nil"/>
            </w:tcBorders>
            <w:vMerge w:val="continue"/>
          </w:tcPr>
          <w:p/>
        </w:tc>
        <w:tc>
          <w:tcPr>
            <w:gridSpan w:val="2"/>
            <w:vMerge w:val="continue"/>
          </w:tcPr>
          <w:p/>
        </w:tc>
      </w:tr>
      <w:tr>
        <w:tc>
          <w:tcPr>
            <w:tcW w:w="2494" w:type="dxa"/>
            <w:vAlign w:val="center"/>
          </w:tcPr>
          <w:p>
            <w:pPr>
              <w:pStyle w:val="0"/>
            </w:pPr>
            <w:r>
              <w:rPr>
                <w:sz w:val="20"/>
              </w:rPr>
              <w:t xml:space="preserve">2. Специалисты, осуществляющие управление воздушным движением в воздухе (диспетчер управления воздушным движением)</w:t>
            </w:r>
          </w:p>
        </w:tc>
        <w:tc>
          <w:tcPr>
            <w:vMerge w:val="continue"/>
          </w:tcPr>
          <w:p/>
        </w:tc>
        <w:tc>
          <w:tcPr>
            <w:tcBorders>
              <w:bottom w:val="nil"/>
            </w:tcBorders>
            <w:vMerge w:val="continue"/>
          </w:tcPr>
          <w:p/>
        </w:tc>
        <w:tc>
          <w:tcPr>
            <w:gridSpan w:val="2"/>
            <w:vMerge w:val="continue"/>
          </w:tcPr>
          <w:p/>
        </w:tc>
      </w:tr>
      <w:tr>
        <w:tblPrEx>
          <w:tblBorders>
            <w:insideH w:val="nil"/>
          </w:tblBorders>
        </w:tblPrEx>
        <w:tc>
          <w:tcPr>
            <w:tcW w:w="2494" w:type="dxa"/>
            <w:vAlign w:val="center"/>
            <w:tcBorders>
              <w:bottom w:val="nil"/>
            </w:tcBorders>
          </w:tcPr>
          <w:p>
            <w:pPr>
              <w:pStyle w:val="0"/>
            </w:pPr>
            <w:r>
              <w:rPr>
                <w:sz w:val="20"/>
              </w:rPr>
              <w:t xml:space="preserve">2.1. Диспетчер диспетчерского пункта руления, диспетчер-инструктор тренажера</w:t>
            </w:r>
          </w:p>
        </w:tc>
        <w:tc>
          <w:tcPr>
            <w:tcW w:w="1247" w:type="dxa"/>
            <w:vAlign w:val="center"/>
            <w:tcBorders>
              <w:bottom w:val="nil"/>
            </w:tcBorders>
          </w:tcPr>
          <w:p>
            <w:pPr>
              <w:pStyle w:val="0"/>
              <w:jc w:val="center"/>
            </w:pPr>
            <w:r>
              <w:rPr>
                <w:sz w:val="20"/>
              </w:rPr>
              <w:t xml:space="preserve">1 раз в 4 года</w:t>
            </w:r>
          </w:p>
        </w:tc>
        <w:tc>
          <w:tcPr>
            <w:tcBorders>
              <w:bottom w:val="nil"/>
            </w:tcBorders>
            <w:vMerge w:val="continue"/>
          </w:tcPr>
          <w:p/>
        </w:tc>
        <w:tc>
          <w:tcPr>
            <w:tcW w:w="1587" w:type="dxa"/>
            <w:vAlign w:val="center"/>
            <w:tcBorders>
              <w:bottom w:val="nil"/>
            </w:tcBorders>
          </w:tcPr>
          <w:p>
            <w:pPr>
              <w:pStyle w:val="0"/>
            </w:pPr>
            <w:r>
              <w:rPr>
                <w:sz w:val="20"/>
              </w:rPr>
              <w:t xml:space="preserve">Оториноларинголог</w:t>
            </w:r>
          </w:p>
          <w:p>
            <w:pPr>
              <w:pStyle w:val="0"/>
            </w:pPr>
            <w:r>
              <w:rPr>
                <w:sz w:val="20"/>
              </w:rPr>
              <w:t xml:space="preserve">Офтальмолог</w:t>
            </w:r>
          </w:p>
        </w:tc>
        <w:tc>
          <w:tcPr>
            <w:tcW w:w="1644" w:type="dxa"/>
            <w:vAlign w:val="center"/>
            <w:tcBorders>
              <w:bottom w:val="nil"/>
            </w:tcBorders>
          </w:tcPr>
          <w:p>
            <w:pPr>
              <w:pStyle w:val="0"/>
            </w:pPr>
            <w:r>
              <w:rPr>
                <w:sz w:val="20"/>
              </w:rPr>
              <w:t xml:space="preserve">Тональная пороговая аудиометрия</w:t>
            </w:r>
          </w:p>
        </w:tc>
      </w:tr>
      <w:tr>
        <w:tblPrEx>
          <w:tblBorders>
            <w:insideH w:val="nil"/>
          </w:tblBorders>
        </w:tblPrEx>
        <w:tc>
          <w:tcPr>
            <w:gridSpan w:val="5"/>
            <w:tcW w:w="9013" w:type="dxa"/>
            <w:tcBorders>
              <w:top w:val="nil"/>
            </w:tcBorders>
          </w:tcPr>
          <w:p>
            <w:pPr>
              <w:pStyle w:val="0"/>
              <w:jc w:val="both"/>
            </w:pPr>
            <w:r>
              <w:rPr>
                <w:sz w:val="20"/>
              </w:rPr>
              <w:t xml:space="preserve">(в ред. </w:t>
            </w:r>
            <w:hyperlink w:history="0" r:id="rId70"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rPr>
              <w:t xml:space="preserve"> Минтранса России от 31.03.2025 N 111)</w:t>
            </w:r>
          </w:p>
        </w:tc>
      </w:tr>
      <w:tr>
        <w:tc>
          <w:tcPr>
            <w:tcW w:w="2494" w:type="dxa"/>
            <w:vAlign w:val="center"/>
          </w:tcPr>
          <w:p>
            <w:pPr>
              <w:pStyle w:val="0"/>
            </w:pPr>
            <w:r>
              <w:rPr>
                <w:sz w:val="20"/>
              </w:rPr>
              <w:t xml:space="preserve">3. Специалисты, входящие в состав кабинного экипажа гражданской авиации:</w:t>
            </w:r>
          </w:p>
        </w:tc>
        <w:tc>
          <w:tcPr>
            <w:gridSpan w:val="4"/>
            <w:tcW w:w="6519" w:type="dxa"/>
            <w:vAlign w:val="center"/>
          </w:tcPr>
          <w:p>
            <w:pPr>
              <w:pStyle w:val="0"/>
            </w:pPr>
            <w:r>
              <w:rPr>
                <w:sz w:val="20"/>
              </w:rPr>
            </w:r>
          </w:p>
        </w:tc>
      </w:tr>
      <w:tr>
        <w:tc>
          <w:tcPr>
            <w:tcW w:w="2494" w:type="dxa"/>
            <w:vAlign w:val="center"/>
          </w:tcPr>
          <w:p>
            <w:pPr>
              <w:pStyle w:val="0"/>
            </w:pPr>
            <w:r>
              <w:rPr>
                <w:sz w:val="20"/>
              </w:rPr>
              <w:t xml:space="preserve">3.1. Бортпроводник</w:t>
            </w:r>
          </w:p>
        </w:tc>
        <w:tc>
          <w:tcPr>
            <w:tcW w:w="1247" w:type="dxa"/>
            <w:vAlign w:val="center"/>
          </w:tcPr>
          <w:p>
            <w:pPr>
              <w:pStyle w:val="0"/>
              <w:jc w:val="center"/>
            </w:pPr>
            <w:r>
              <w:rPr>
                <w:sz w:val="20"/>
              </w:rPr>
              <w:t xml:space="preserve">1 раз в 5 лет</w:t>
            </w:r>
          </w:p>
        </w:tc>
        <w:tc>
          <w:tcPr>
            <w:tcW w:w="2041" w:type="dxa"/>
            <w:vAlign w:val="center"/>
          </w:tcPr>
          <w:p>
            <w:pPr>
              <w:pStyle w:val="0"/>
              <w:jc w:val="center"/>
            </w:pPr>
            <w:r>
              <w:rPr>
                <w:sz w:val="20"/>
              </w:rPr>
              <w:t xml:space="preserve">С учетом работ во вредных и (или) опасных условиях труда, а также работ, при выполнении которых имеется контакт с пищевыми продуктами в процессе их производства, хранения, транспортировки и реализации</w:t>
            </w:r>
          </w:p>
        </w:tc>
        <w:tc>
          <w:tcPr>
            <w:tcW w:w="1587" w:type="dxa"/>
            <w:vAlign w:val="center"/>
          </w:tcPr>
          <w:p>
            <w:pPr>
              <w:pStyle w:val="0"/>
            </w:pPr>
            <w:r>
              <w:rPr>
                <w:sz w:val="20"/>
              </w:rPr>
              <w:t xml:space="preserve">Дерматовенеролог</w:t>
            </w:r>
          </w:p>
          <w:p>
            <w:pPr>
              <w:pStyle w:val="0"/>
            </w:pPr>
            <w:r>
              <w:rPr>
                <w:sz w:val="20"/>
              </w:rPr>
              <w:t xml:space="preserve">Офтальмолог</w:t>
            </w:r>
          </w:p>
          <w:p>
            <w:pPr>
              <w:pStyle w:val="0"/>
            </w:pPr>
            <w:r>
              <w:rPr>
                <w:sz w:val="20"/>
              </w:rPr>
              <w:t xml:space="preserve">Стоматолог</w:t>
            </w:r>
          </w:p>
          <w:p>
            <w:pPr>
              <w:pStyle w:val="0"/>
            </w:pPr>
            <w:r>
              <w:rPr>
                <w:sz w:val="20"/>
              </w:rPr>
              <w:t xml:space="preserve">Оториноларинголог</w:t>
            </w:r>
          </w:p>
        </w:tc>
        <w:tc>
          <w:tcPr>
            <w:tcW w:w="1644" w:type="dxa"/>
            <w:vAlign w:val="center"/>
          </w:tcPr>
          <w:p>
            <w:pPr>
              <w:pStyle w:val="0"/>
            </w:pPr>
            <w:r>
              <w:rPr>
                <w:sz w:val="20"/>
              </w:rPr>
              <w:t xml:space="preserve">Тональная пороговая аудиометрия</w:t>
            </w:r>
          </w:p>
        </w:tc>
      </w:tr>
      <w:tr>
        <w:tc>
          <w:tcPr>
            <w:tcW w:w="2494" w:type="dxa"/>
            <w:vAlign w:val="center"/>
          </w:tcPr>
          <w:p>
            <w:pPr>
              <w:pStyle w:val="0"/>
            </w:pPr>
            <w:r>
              <w:rPr>
                <w:sz w:val="20"/>
              </w:rPr>
              <w:t xml:space="preserve">3.2. Бортоператор</w:t>
            </w:r>
          </w:p>
        </w:tc>
        <w:tc>
          <w:tcPr>
            <w:tcW w:w="1247" w:type="dxa"/>
            <w:vAlign w:val="center"/>
          </w:tcPr>
          <w:p>
            <w:pPr>
              <w:pStyle w:val="0"/>
              <w:jc w:val="center"/>
            </w:pPr>
            <w:r>
              <w:rPr>
                <w:sz w:val="20"/>
              </w:rPr>
              <w:t xml:space="preserve">1 раз в 5 лет</w:t>
            </w:r>
          </w:p>
        </w:tc>
        <w:tc>
          <w:tcPr>
            <w:tcW w:w="2041" w:type="dxa"/>
            <w:vAlign w:val="center"/>
          </w:tcPr>
          <w:p>
            <w:pPr>
              <w:pStyle w:val="0"/>
              <w:jc w:val="center"/>
            </w:pPr>
            <w:r>
              <w:rPr>
                <w:sz w:val="20"/>
              </w:rPr>
              <w:t xml:space="preserve">С учетом работ во вредных и (или) опасных условиях труда</w:t>
            </w:r>
          </w:p>
        </w:tc>
        <w:tc>
          <w:tcPr>
            <w:tcW w:w="1587" w:type="dxa"/>
            <w:vAlign w:val="center"/>
          </w:tcPr>
          <w:p>
            <w:pPr>
              <w:pStyle w:val="0"/>
            </w:pPr>
            <w:r>
              <w:rPr>
                <w:sz w:val="20"/>
              </w:rPr>
              <w:t xml:space="preserve">Оториноларинголог</w:t>
            </w:r>
          </w:p>
          <w:p>
            <w:pPr>
              <w:pStyle w:val="0"/>
            </w:pPr>
            <w:r>
              <w:rPr>
                <w:sz w:val="20"/>
              </w:rPr>
              <w:t xml:space="preserve">Офтальмолог</w:t>
            </w:r>
          </w:p>
        </w:tc>
        <w:tc>
          <w:tcPr>
            <w:tcW w:w="1644" w:type="dxa"/>
            <w:vAlign w:val="center"/>
          </w:tcPr>
          <w:p>
            <w:pPr>
              <w:pStyle w:val="0"/>
            </w:pPr>
            <w:r>
              <w:rPr>
                <w:sz w:val="20"/>
              </w:rPr>
              <w:t xml:space="preserve">Тональная пороговая аудиометрия</w:t>
            </w:r>
          </w:p>
        </w:tc>
      </w:tr>
      <w:tr>
        <w:tc>
          <w:tcPr>
            <w:tcW w:w="2494" w:type="dxa"/>
            <w:vAlign w:val="center"/>
          </w:tcPr>
          <w:p>
            <w:pPr>
              <w:pStyle w:val="0"/>
            </w:pPr>
            <w:r>
              <w:rPr>
                <w:sz w:val="20"/>
              </w:rPr>
              <w:t xml:space="preserve">4. Специалисты, осуществляющие техническое обслуживание воздушных судов (специалист по техническому обслуживанию воздушных судов)</w:t>
            </w:r>
          </w:p>
        </w:tc>
        <w:tc>
          <w:tcPr>
            <w:tcW w:w="1247" w:type="dxa"/>
            <w:vAlign w:val="center"/>
          </w:tcPr>
          <w:p>
            <w:pPr>
              <w:pStyle w:val="0"/>
              <w:jc w:val="center"/>
            </w:pPr>
            <w:r>
              <w:rPr>
                <w:sz w:val="20"/>
              </w:rPr>
              <w:t xml:space="preserve">1 раз в 5 лет</w:t>
            </w:r>
          </w:p>
        </w:tc>
        <w:tc>
          <w:tcPr>
            <w:tcW w:w="2041" w:type="dxa"/>
            <w:vAlign w:val="center"/>
          </w:tcPr>
          <w:p>
            <w:pPr>
              <w:pStyle w:val="0"/>
              <w:jc w:val="center"/>
            </w:pPr>
            <w:r>
              <w:rPr>
                <w:sz w:val="20"/>
              </w:rPr>
              <w:t xml:space="preserve">С учетом работ во вредных и (или) опасных условиях труда, а также видов работ, при выполнении которых проводятся обязательные предварительные и периодические медицинские осмотры</w:t>
            </w:r>
          </w:p>
        </w:tc>
        <w:tc>
          <w:tcPr>
            <w:tcW w:w="1587" w:type="dxa"/>
            <w:vAlign w:val="center"/>
          </w:tcPr>
          <w:p>
            <w:pPr>
              <w:pStyle w:val="0"/>
            </w:pPr>
            <w:r>
              <w:rPr>
                <w:sz w:val="20"/>
              </w:rPr>
              <w:t xml:space="preserve">Оториноларинголог</w:t>
            </w:r>
          </w:p>
          <w:p>
            <w:pPr>
              <w:pStyle w:val="0"/>
            </w:pPr>
            <w:r>
              <w:rPr>
                <w:sz w:val="20"/>
              </w:rPr>
              <w:t xml:space="preserve">Офтальмолог</w:t>
            </w:r>
          </w:p>
        </w:tc>
        <w:tc>
          <w:tcPr>
            <w:tcW w:w="1644" w:type="dxa"/>
            <w:vAlign w:val="center"/>
          </w:tcPr>
          <w:p>
            <w:pPr>
              <w:pStyle w:val="0"/>
            </w:pPr>
            <w:r>
              <w:rPr>
                <w:sz w:val="20"/>
              </w:rPr>
              <w:t xml:space="preserve">Тональная пороговая аудиометрия</w:t>
            </w:r>
          </w:p>
        </w:tc>
      </w:tr>
      <w:tr>
        <w:tc>
          <w:tcPr>
            <w:tcW w:w="2494" w:type="dxa"/>
            <w:vAlign w:val="center"/>
          </w:tcPr>
          <w:p>
            <w:pPr>
              <w:pStyle w:val="0"/>
            </w:pPr>
            <w:r>
              <w:rPr>
                <w:sz w:val="20"/>
              </w:rPr>
              <w:t xml:space="preserve">5. Специалисты, осуществляющие функции сотрудника по обеспечению полетов (сотрудник по обеспечению полетов)</w:t>
            </w:r>
          </w:p>
        </w:tc>
        <w:tc>
          <w:tcPr>
            <w:tcW w:w="1247" w:type="dxa"/>
            <w:vAlign w:val="center"/>
          </w:tcPr>
          <w:p>
            <w:pPr>
              <w:pStyle w:val="0"/>
              <w:jc w:val="center"/>
            </w:pPr>
            <w:r>
              <w:rPr>
                <w:sz w:val="20"/>
              </w:rPr>
              <w:t xml:space="preserve">1 раз в 5 лет</w:t>
            </w:r>
          </w:p>
        </w:tc>
        <w:tc>
          <w:tcPr>
            <w:tcW w:w="2041" w:type="dxa"/>
            <w:vAlign w:val="center"/>
          </w:tcPr>
          <w:p>
            <w:pPr>
              <w:pStyle w:val="0"/>
              <w:jc w:val="center"/>
            </w:pPr>
            <w:r>
              <w:rPr>
                <w:sz w:val="20"/>
              </w:rPr>
              <w:t xml:space="preserve">С учетом работ во вредных и (или) опасных условиях труда</w:t>
            </w:r>
          </w:p>
        </w:tc>
        <w:tc>
          <w:tcPr>
            <w:tcW w:w="1587" w:type="dxa"/>
            <w:vAlign w:val="center"/>
          </w:tcPr>
          <w:p>
            <w:pPr>
              <w:pStyle w:val="0"/>
            </w:pPr>
            <w:r>
              <w:rPr>
                <w:sz w:val="20"/>
              </w:rPr>
              <w:t xml:space="preserve">Офтальмолог</w:t>
            </w:r>
          </w:p>
        </w:tc>
        <w:tc>
          <w:tcPr>
            <w:tcW w:w="1644" w:type="dxa"/>
            <w:vAlign w:val="center"/>
          </w:tcPr>
          <w:p>
            <w:pPr>
              <w:pStyle w:val="0"/>
            </w:pPr>
            <w:r>
              <w:rPr>
                <w:sz w:val="20"/>
              </w:rPr>
              <w:t xml:space="preserve">нет</w:t>
            </w:r>
          </w:p>
        </w:tc>
      </w:tr>
      <w:tr>
        <w:tblPrEx>
          <w:tblBorders>
            <w:insideH w:val="nil"/>
          </w:tblBorders>
        </w:tblPrEx>
        <w:tc>
          <w:tcPr>
            <w:gridSpan w:val="5"/>
            <w:tcW w:w="9013" w:type="dxa"/>
          </w:tcPr>
          <w:p>
            <w:pPr>
              <w:pStyle w:val="0"/>
              <w:jc w:val="both"/>
            </w:pPr>
            <w:r>
              <w:rPr>
                <w:sz w:val="20"/>
              </w:rPr>
              <w:t xml:space="preserve">6. Утратил силу с 1 сентября 2025 года. - </w:t>
            </w:r>
            <w:hyperlink w:history="0" r:id="rId71"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w:t>
              </w:r>
            </w:hyperlink>
            <w:r>
              <w:rPr>
                <w:sz w:val="20"/>
              </w:rPr>
              <w:t xml:space="preserve"> Минтранса России от 31.03.2025 N 111</w:t>
            </w:r>
          </w:p>
        </w:tc>
      </w:tr>
    </w:tbl>
    <w:p>
      <w:pPr>
        <w:pStyle w:val="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&lt;1&gt; Сноска исключена с 1 сентября 2025 года. - </w:t>
      </w:r>
      <w:hyperlink w:history="0" r:id="rId72"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w:t>
        </w:r>
      </w:hyperlink>
      <w:r>
        <w:rPr>
          <w:sz w:val="20"/>
        </w:rPr>
        <w:t xml:space="preserve"> Минтранса России от 31.03.2025 N 111.</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Порядку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73"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color w:val="392c69"/>
              </w:rPr>
              <w:t xml:space="preserve"> Минтранса России от 31.03.2025 N 111)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0"/>
        </w:rPr>
      </w:r>
    </w:p>
    <w:p>
      <w:pPr>
        <w:pStyle w:val="0"/>
        <w:jc w:val="right"/>
      </w:pPr>
      <w:r>
        <w:rPr>
          <w:sz w:val="20"/>
        </w:rPr>
        <w:t xml:space="preserve">(рекомендуемый образец)</w:t>
      </w:r>
    </w:p>
    <w:p>
      <w:pPr>
        <w:pStyle w:val="0"/>
        <w:jc w:val="both"/>
      </w:pPr>
      <w:r>
        <w:rPr>
          <w:sz w:val="20"/>
        </w:rPr>
      </w:r>
    </w:p>
    <w:tbl>
      <w:tblPr>
        <w:tblInd w:w="0" w:type="dxa"/>
        <w:tblLayout w:type="fixed"/>
        <w:tblCellMar>
          <w:top w:w="102" w:type="dxa"/>
          <w:left w:w="62" w:type="dxa"/>
          <w:bottom w:w="102" w:type="dxa"/>
          <w:right w:w="62" w:type="dxa"/>
        </w:tblCellMar>
      </w:tblPr>
      <w:tblGrid>
        <w:gridCol w:w="9014"/>
      </w:tblGrid>
      <w:tr>
        <w:tc>
          <w:tcPr>
            <w:tcW w:w="9014" w:type="dxa"/>
            <w:tcBorders>
              <w:top w:val="nil"/>
              <w:left w:val="nil"/>
              <w:bottom w:val="nil"/>
              <w:right w:val="nil"/>
            </w:tcBorders>
          </w:tcPr>
          <w:bookmarkStart w:id="304" w:name="P304"/>
          <w:bookmarkEnd w:id="304"/>
          <w:p>
            <w:pPr>
              <w:pStyle w:val="0"/>
              <w:jc w:val="center"/>
            </w:pPr>
            <w:r>
              <w:rPr>
                <w:sz w:val="20"/>
              </w:rPr>
              <w:t xml:space="preserve">Направление</w:t>
            </w:r>
          </w:p>
          <w:p>
            <w:pPr>
              <w:pStyle w:val="0"/>
              <w:jc w:val="center"/>
            </w:pPr>
            <w:r>
              <w:rPr>
                <w:sz w:val="20"/>
              </w:rPr>
              <w:t xml:space="preserve">на обязательный медицинский осмотр (предварительный, периодический) специалиста авиационного персонала гражданской авиации</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690"/>
        <w:gridCol w:w="4309"/>
      </w:tblGrid>
      <w:tr>
        <w:tc>
          <w:tcPr>
            <w:tcW w:w="4690" w:type="dxa"/>
          </w:tcPr>
          <w:p>
            <w:pPr>
              <w:pStyle w:val="0"/>
            </w:pPr>
            <w:r>
              <w:rPr>
                <w:sz w:val="20"/>
              </w:rPr>
              <w:t xml:space="preserve">Наименование работодателя</w:t>
            </w:r>
          </w:p>
          <w:p>
            <w:pPr>
              <w:pStyle w:val="0"/>
            </w:pPr>
            <w:r>
              <w:rPr>
                <w:sz w:val="20"/>
              </w:rPr>
              <w:t xml:space="preserve">Электронная почта</w:t>
            </w:r>
          </w:p>
          <w:p>
            <w:pPr>
              <w:pStyle w:val="0"/>
            </w:pPr>
            <w:r>
              <w:rPr>
                <w:sz w:val="20"/>
              </w:rPr>
              <w:t xml:space="preserve">Контактный телефон</w:t>
            </w:r>
          </w:p>
          <w:p>
            <w:pPr>
              <w:pStyle w:val="0"/>
            </w:pPr>
            <w:r>
              <w:rPr>
                <w:sz w:val="20"/>
              </w:rPr>
              <w:t xml:space="preserve">Форма собственности</w:t>
            </w:r>
          </w:p>
          <w:p>
            <w:pPr>
              <w:pStyle w:val="0"/>
            </w:pPr>
            <w:r>
              <w:rPr>
                <w:sz w:val="20"/>
              </w:rPr>
              <w:t xml:space="preserve">Вид экономической деятельности работодателя по </w:t>
            </w:r>
            <w:hyperlink w:history="0" r:id="rId74" w:tooltip="&quot;ОК 029-2014 (КДЕС Ред. 2). Общероссийский классификатор видов экономической деятельности&quot; (утв. Приказом Росстандарта от 31.01.2014 N 14-ст) (ред. от 25.06.2025) {КонсультантПлюс}">
              <w:r>
                <w:rPr>
                  <w:sz w:val="20"/>
                  <w:color w:val="0000ff"/>
                </w:rPr>
                <w:t xml:space="preserve">ОКВЭД</w:t>
              </w:r>
            </w:hyperlink>
          </w:p>
        </w:tc>
        <w:tc>
          <w:tcPr>
            <w:tcW w:w="4309" w:type="dxa"/>
          </w:tcPr>
          <w:p>
            <w:pPr>
              <w:pStyle w:val="0"/>
            </w:pPr>
            <w:r>
              <w:rPr>
                <w:sz w:val="20"/>
              </w:rPr>
            </w:r>
          </w:p>
        </w:tc>
      </w:tr>
      <w:tr>
        <w:tc>
          <w:tcPr>
            <w:tcW w:w="4690" w:type="dxa"/>
          </w:tcPr>
          <w:p>
            <w:pPr>
              <w:pStyle w:val="0"/>
            </w:pPr>
            <w:r>
              <w:rPr>
                <w:sz w:val="20"/>
              </w:rPr>
              <w:t xml:space="preserve">Наименование медицинской организации</w:t>
            </w:r>
          </w:p>
          <w:p>
            <w:pPr>
              <w:pStyle w:val="0"/>
            </w:pPr>
            <w:r>
              <w:rPr>
                <w:sz w:val="20"/>
              </w:rPr>
              <w:t xml:space="preserve">Фактический адрес ее местонахождения</w:t>
            </w:r>
          </w:p>
          <w:p>
            <w:pPr>
              <w:pStyle w:val="0"/>
            </w:pPr>
            <w:r>
              <w:rPr>
                <w:sz w:val="20"/>
              </w:rPr>
              <w:t xml:space="preserve">Код по ОГРН</w:t>
            </w:r>
          </w:p>
          <w:p>
            <w:pPr>
              <w:pStyle w:val="0"/>
            </w:pPr>
            <w:r>
              <w:rPr>
                <w:sz w:val="20"/>
              </w:rPr>
              <w:t xml:space="preserve">Электронная почта</w:t>
            </w:r>
          </w:p>
          <w:p>
            <w:pPr>
              <w:pStyle w:val="0"/>
            </w:pPr>
            <w:r>
              <w:rPr>
                <w:sz w:val="20"/>
              </w:rPr>
              <w:t xml:space="preserve">Контактный телефон</w:t>
            </w:r>
          </w:p>
        </w:tc>
        <w:tc>
          <w:tcPr>
            <w:tcW w:w="4309" w:type="dxa"/>
          </w:tcPr>
          <w:p>
            <w:pPr>
              <w:pStyle w:val="0"/>
            </w:pPr>
            <w:r>
              <w:rPr>
                <w:sz w:val="20"/>
              </w:rPr>
            </w:r>
          </w:p>
        </w:tc>
      </w:tr>
      <w:tr>
        <w:tc>
          <w:tcPr>
            <w:tcW w:w="4690" w:type="dxa"/>
          </w:tcPr>
          <w:p>
            <w:pPr>
              <w:pStyle w:val="0"/>
              <w:jc w:val="both"/>
            </w:pPr>
            <w:r>
              <w:rPr>
                <w:sz w:val="20"/>
              </w:rPr>
              <w:t xml:space="preserve">Вид медицинского осмотра (предварительный, периодический, периодический в центре профпатологии, внеочередной)</w:t>
            </w:r>
          </w:p>
        </w:tc>
        <w:tc>
          <w:tcPr>
            <w:tcW w:w="4309" w:type="dxa"/>
          </w:tcPr>
          <w:p>
            <w:pPr>
              <w:pStyle w:val="0"/>
            </w:pPr>
            <w:r>
              <w:rPr>
                <w:sz w:val="20"/>
              </w:rPr>
            </w:r>
          </w:p>
        </w:tc>
      </w:tr>
      <w:tr>
        <w:tc>
          <w:tcPr>
            <w:tcW w:w="4690" w:type="dxa"/>
          </w:tcPr>
          <w:p>
            <w:pPr>
              <w:pStyle w:val="0"/>
              <w:jc w:val="both"/>
            </w:pPr>
            <w:r>
              <w:rPr>
                <w:sz w:val="20"/>
              </w:rPr>
              <w:t xml:space="preserve">Наименование вредных производственных факторов на рабочем месте по результатам специальной оценки условий труда и (или видов работ)</w:t>
            </w:r>
          </w:p>
        </w:tc>
        <w:tc>
          <w:tcPr>
            <w:tcW w:w="4309" w:type="dxa"/>
          </w:tcPr>
          <w:p>
            <w:pPr>
              <w:pStyle w:val="0"/>
            </w:pPr>
            <w:r>
              <w:rPr>
                <w:sz w:val="20"/>
              </w:rPr>
            </w:r>
          </w:p>
        </w:tc>
      </w:tr>
      <w:tr>
        <w:tc>
          <w:tcPr>
            <w:tcW w:w="4690" w:type="dxa"/>
          </w:tcPr>
          <w:p>
            <w:pPr>
              <w:pStyle w:val="0"/>
              <w:jc w:val="both"/>
            </w:pPr>
            <w:r>
              <w:rPr>
                <w:sz w:val="20"/>
              </w:rPr>
              <w:t xml:space="preserve">Фамилия, имя, отчество (при наличии) специалиста из числа авиационного персонала, подлежащего периодическому медицинскому осмотру</w:t>
            </w:r>
          </w:p>
        </w:tc>
        <w:tc>
          <w:tcPr>
            <w:tcW w:w="4309" w:type="dxa"/>
          </w:tcPr>
          <w:p>
            <w:pPr>
              <w:pStyle w:val="0"/>
            </w:pPr>
            <w:r>
              <w:rPr>
                <w:sz w:val="20"/>
              </w:rPr>
            </w:r>
          </w:p>
        </w:tc>
      </w:tr>
      <w:tr>
        <w:tc>
          <w:tcPr>
            <w:tcW w:w="4690" w:type="dxa"/>
          </w:tcPr>
          <w:p>
            <w:pPr>
              <w:pStyle w:val="0"/>
              <w:jc w:val="both"/>
            </w:pPr>
            <w:r>
              <w:rPr>
                <w:sz w:val="20"/>
              </w:rPr>
              <w:t xml:space="preserve">Дата рождения</w:t>
            </w:r>
          </w:p>
          <w:p>
            <w:pPr>
              <w:pStyle w:val="0"/>
              <w:jc w:val="both"/>
            </w:pPr>
            <w:r>
              <w:rPr>
                <w:sz w:val="20"/>
              </w:rPr>
              <w:t xml:space="preserve">Пол</w:t>
            </w:r>
          </w:p>
        </w:tc>
        <w:tc>
          <w:tcPr>
            <w:tcW w:w="4309" w:type="dxa"/>
          </w:tcPr>
          <w:p>
            <w:pPr>
              <w:pStyle w:val="0"/>
            </w:pPr>
            <w:r>
              <w:rPr>
                <w:sz w:val="20"/>
              </w:rPr>
            </w:r>
          </w:p>
        </w:tc>
      </w:tr>
      <w:tr>
        <w:tc>
          <w:tcPr>
            <w:tcW w:w="4690" w:type="dxa"/>
          </w:tcPr>
          <w:p>
            <w:pPr>
              <w:pStyle w:val="0"/>
              <w:jc w:val="both"/>
            </w:pPr>
            <w:r>
              <w:rPr>
                <w:sz w:val="20"/>
              </w:rPr>
              <w:t xml:space="preserve">Категория специалистов авиационного персонала гражданской авиации</w:t>
            </w:r>
          </w:p>
        </w:tc>
        <w:tc>
          <w:tcPr>
            <w:tcW w:w="4309" w:type="dxa"/>
          </w:tcPr>
          <w:p>
            <w:pPr>
              <w:pStyle w:val="0"/>
            </w:pPr>
            <w:r>
              <w:rPr>
                <w:sz w:val="20"/>
              </w:rPr>
            </w:r>
          </w:p>
        </w:tc>
      </w:tr>
      <w:tr>
        <w:tc>
          <w:tcPr>
            <w:tcW w:w="4690" w:type="dxa"/>
          </w:tcPr>
          <w:p>
            <w:pPr>
              <w:pStyle w:val="0"/>
              <w:jc w:val="both"/>
            </w:pPr>
            <w:r>
              <w:rPr>
                <w:sz w:val="20"/>
              </w:rPr>
              <w:t xml:space="preserve">Структурное подразделение работодателя (при наличии)</w:t>
            </w:r>
          </w:p>
        </w:tc>
        <w:tc>
          <w:tcPr>
            <w:tcW w:w="4309" w:type="dxa"/>
          </w:tcPr>
          <w:p>
            <w:pPr>
              <w:pStyle w:val="0"/>
            </w:pPr>
            <w:r>
              <w:rPr>
                <w:sz w:val="20"/>
              </w:rPr>
            </w:r>
          </w:p>
        </w:tc>
      </w:tr>
      <w:tr>
        <w:tc>
          <w:tcPr>
            <w:tcW w:w="4690" w:type="dxa"/>
          </w:tcPr>
          <w:p>
            <w:pPr>
              <w:pStyle w:val="0"/>
              <w:jc w:val="both"/>
            </w:pPr>
            <w:r>
              <w:rPr>
                <w:sz w:val="20"/>
              </w:rPr>
              <w:t xml:space="preserve">Должность</w:t>
            </w:r>
          </w:p>
        </w:tc>
        <w:tc>
          <w:tcPr>
            <w:tcW w:w="4309" w:type="dxa"/>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Порядку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75"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color w:val="392c69"/>
              </w:rPr>
              <w:t xml:space="preserve"> Минтранса России от 31.03.2025 N 111)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0"/>
        </w:rPr>
      </w:r>
    </w:p>
    <w:p>
      <w:pPr>
        <w:pStyle w:val="0"/>
        <w:jc w:val="right"/>
      </w:pPr>
      <w:r>
        <w:rPr>
          <w:sz w:val="20"/>
        </w:rPr>
        <w:t xml:space="preserve">(рекомендуемый образец)</w:t>
      </w:r>
    </w:p>
    <w:p>
      <w:pPr>
        <w:pStyle w:val="0"/>
        <w:jc w:val="both"/>
      </w:pPr>
      <w:r>
        <w:rPr>
          <w:sz w:val="20"/>
        </w:rPr>
      </w:r>
    </w:p>
    <w:tbl>
      <w:tblPr>
        <w:tblInd w:w="0" w:type="dxa"/>
        <w:tblLayout w:type="fixed"/>
        <w:tblCellMar>
          <w:top w:w="102" w:type="dxa"/>
          <w:left w:w="62" w:type="dxa"/>
          <w:bottom w:w="102" w:type="dxa"/>
          <w:right w:w="62" w:type="dxa"/>
        </w:tblCellMar>
      </w:tblPr>
      <w:tblGrid>
        <w:gridCol w:w="5203"/>
        <w:gridCol w:w="3798"/>
      </w:tblGrid>
      <w:tr>
        <w:tc>
          <w:tcPr>
            <w:tcW w:w="5203" w:type="dxa"/>
            <w:tcBorders>
              <w:top w:val="nil"/>
              <w:left w:val="nil"/>
              <w:bottom w:val="nil"/>
              <w:right w:val="nil"/>
            </w:tcBorders>
          </w:tcPr>
          <w:p>
            <w:pPr>
              <w:pStyle w:val="0"/>
            </w:pPr>
            <w:r>
              <w:rPr>
                <w:sz w:val="20"/>
              </w:rPr>
            </w:r>
          </w:p>
        </w:tc>
        <w:tc>
          <w:tcPr>
            <w:tcW w:w="3798" w:type="dxa"/>
            <w:vAlign w:val="bottom"/>
            <w:tcBorders>
              <w:top w:val="nil"/>
              <w:left w:val="nil"/>
              <w:bottom w:val="nil"/>
              <w:right w:val="nil"/>
            </w:tcBorders>
          </w:tcPr>
          <w:p>
            <w:pPr>
              <w:pStyle w:val="0"/>
              <w:jc w:val="center"/>
            </w:pPr>
            <w:r>
              <w:rPr>
                <w:sz w:val="20"/>
              </w:rPr>
              <w:t xml:space="preserve">Утверждаю:</w:t>
            </w:r>
          </w:p>
        </w:tc>
      </w:tr>
      <w:tr>
        <w:tc>
          <w:tcPr>
            <w:tcW w:w="5203" w:type="dxa"/>
            <w:tcBorders>
              <w:top w:val="nil"/>
              <w:left w:val="nil"/>
              <w:bottom w:val="nil"/>
              <w:right w:val="nil"/>
            </w:tcBorders>
          </w:tcPr>
          <w:p>
            <w:pPr>
              <w:pStyle w:val="0"/>
            </w:pPr>
            <w:r>
              <w:rPr>
                <w:sz w:val="20"/>
              </w:rPr>
            </w:r>
          </w:p>
        </w:tc>
        <w:tc>
          <w:tcPr>
            <w:tcW w:w="3798" w:type="dxa"/>
            <w:vAlign w:val="bottom"/>
            <w:tcBorders>
              <w:top w:val="nil"/>
              <w:left w:val="nil"/>
              <w:bottom w:val="nil"/>
              <w:right w:val="nil"/>
            </w:tcBorders>
          </w:tcPr>
          <w:p>
            <w:pPr>
              <w:pStyle w:val="0"/>
              <w:jc w:val="center"/>
            </w:pPr>
            <w:r>
              <w:rPr>
                <w:sz w:val="20"/>
              </w:rPr>
              <w:t xml:space="preserve">_____________________________</w:t>
            </w:r>
          </w:p>
          <w:p>
            <w:pPr>
              <w:pStyle w:val="0"/>
              <w:jc w:val="center"/>
            </w:pPr>
            <w:r>
              <w:rPr>
                <w:sz w:val="20"/>
              </w:rPr>
              <w:t xml:space="preserve">Руководитель организации гражданской авиации</w:t>
            </w:r>
          </w:p>
        </w:tc>
      </w:tr>
      <w:tr>
        <w:tc>
          <w:tcPr>
            <w:tcW w:w="5203" w:type="dxa"/>
            <w:tcBorders>
              <w:top w:val="nil"/>
              <w:left w:val="nil"/>
              <w:bottom w:val="nil"/>
              <w:right w:val="nil"/>
            </w:tcBorders>
          </w:tcPr>
          <w:p>
            <w:pPr>
              <w:pStyle w:val="0"/>
            </w:pPr>
            <w:r>
              <w:rPr>
                <w:sz w:val="20"/>
              </w:rPr>
            </w:r>
          </w:p>
        </w:tc>
        <w:tc>
          <w:tcPr>
            <w:tcW w:w="3798" w:type="dxa"/>
            <w:tcBorders>
              <w:top w:val="nil"/>
              <w:left w:val="nil"/>
              <w:bottom w:val="nil"/>
              <w:right w:val="nil"/>
            </w:tcBorders>
          </w:tcPr>
          <w:p>
            <w:pPr>
              <w:pStyle w:val="0"/>
              <w:jc w:val="center"/>
            </w:pPr>
            <w:r>
              <w:rPr>
                <w:sz w:val="20"/>
              </w:rPr>
              <w:t xml:space="preserve">"__" ______________ 20__ г.</w:t>
            </w:r>
          </w:p>
        </w:tc>
      </w:tr>
    </w:tbl>
    <w:p>
      <w:pPr>
        <w:pStyle w:val="0"/>
        <w:jc w:val="both"/>
      </w:pPr>
      <w:r>
        <w:rPr>
          <w:sz w:val="20"/>
        </w:rPr>
      </w:r>
    </w:p>
    <w:bookmarkStart w:id="354" w:name="P354"/>
    <w:bookmarkEnd w:id="354"/>
    <w:p>
      <w:pPr>
        <w:pStyle w:val="1"/>
        <w:jc w:val="both"/>
      </w:pPr>
      <w:r>
        <w:rPr>
          <w:sz w:val="20"/>
        </w:rPr>
        <w:t xml:space="preserve">                               Перечень лиц</w:t>
      </w:r>
    </w:p>
    <w:p>
      <w:pPr>
        <w:pStyle w:val="1"/>
        <w:jc w:val="both"/>
      </w:pPr>
      <w:r>
        <w:rPr>
          <w:sz w:val="20"/>
        </w:rPr>
        <w:t xml:space="preserve">     из числа специалистов авиационного персонала гражданской авиации,</w:t>
      </w:r>
    </w:p>
    <w:p>
      <w:pPr>
        <w:pStyle w:val="1"/>
        <w:jc w:val="both"/>
      </w:pPr>
      <w:r>
        <w:rPr>
          <w:sz w:val="20"/>
        </w:rPr>
        <w:t xml:space="preserve">      подлежащих обязательным предварительным медицинским осмотрам</w:t>
      </w:r>
    </w:p>
    <w:p>
      <w:pPr>
        <w:pStyle w:val="1"/>
        <w:jc w:val="both"/>
      </w:pPr>
      <w:r>
        <w:rPr>
          <w:sz w:val="20"/>
        </w:rPr>
        <w:t xml:space="preserve">                                в ____ году</w:t>
      </w:r>
    </w:p>
    <w:p>
      <w:pPr>
        <w:pStyle w:val="1"/>
        <w:jc w:val="both"/>
      </w:pPr>
      <w:r>
        <w:rPr>
          <w:sz w:val="20"/>
        </w:rPr>
        <w:t xml:space="preserve">     в ______________________________________________________________</w:t>
      </w:r>
    </w:p>
    <w:p>
      <w:pPr>
        <w:pStyle w:val="1"/>
        <w:jc w:val="both"/>
      </w:pPr>
      <w:r>
        <w:rPr>
          <w:sz w:val="20"/>
        </w:rPr>
        <w:t xml:space="preserve">                наименование организации гражданской авиации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835"/>
        <w:gridCol w:w="4535"/>
        <w:gridCol w:w="1644"/>
      </w:tblGrid>
      <w:tr>
        <w:tc>
          <w:tcPr>
            <w:tcW w:w="2835" w:type="dxa"/>
          </w:tcPr>
          <w:p>
            <w:pPr>
              <w:pStyle w:val="0"/>
              <w:jc w:val="center"/>
            </w:pPr>
            <w:r>
              <w:rPr>
                <w:sz w:val="20"/>
              </w:rPr>
              <w:t xml:space="preserve">Категория специалистов авиационного персонала гражданской авиации (должности)</w:t>
            </w:r>
          </w:p>
        </w:tc>
        <w:tc>
          <w:tcPr>
            <w:tcW w:w="4535" w:type="dxa"/>
          </w:tcPr>
          <w:p>
            <w:pPr>
              <w:pStyle w:val="0"/>
              <w:jc w:val="center"/>
            </w:pPr>
            <w:r>
              <w:rPr>
                <w:sz w:val="20"/>
              </w:rPr>
              <w:t xml:space="preserve">Наименование вредных производственных факторов на рабочем месте по результатам специальной оценки условий труда и (или видов работ) </w:t>
            </w:r>
            <w:hyperlink w:history="0" w:anchor="P369" w:tooltip="&lt;1&gt; Статья 220 Трудового кодекса Российской Федерации.">
              <w:r>
                <w:rPr>
                  <w:sz w:val="20"/>
                  <w:color w:val="0000ff"/>
                </w:rPr>
                <w:t xml:space="preserve">&lt;1&gt;</w:t>
              </w:r>
            </w:hyperlink>
          </w:p>
        </w:tc>
        <w:tc>
          <w:tcPr>
            <w:tcW w:w="1644" w:type="dxa"/>
          </w:tcPr>
          <w:p>
            <w:pPr>
              <w:pStyle w:val="0"/>
              <w:jc w:val="center"/>
            </w:pPr>
            <w:r>
              <w:rPr>
                <w:sz w:val="20"/>
              </w:rPr>
              <w:t xml:space="preserve">Число работников, подлежащих осмотру</w:t>
            </w:r>
          </w:p>
        </w:tc>
      </w:tr>
      <w:tr>
        <w:tc>
          <w:tcPr>
            <w:tcW w:w="2835" w:type="dxa"/>
          </w:tcPr>
          <w:p>
            <w:pPr>
              <w:pStyle w:val="0"/>
            </w:pPr>
            <w:r>
              <w:rPr>
                <w:sz w:val="20"/>
              </w:rPr>
            </w:r>
          </w:p>
        </w:tc>
        <w:tc>
          <w:tcPr>
            <w:tcW w:w="4535" w:type="dxa"/>
          </w:tcPr>
          <w:p>
            <w:pPr>
              <w:pStyle w:val="0"/>
            </w:pPr>
            <w:r>
              <w:rPr>
                <w:sz w:val="20"/>
              </w:rPr>
            </w:r>
          </w:p>
        </w:tc>
        <w:tc>
          <w:tcPr>
            <w:tcW w:w="1644" w:type="dxa"/>
          </w:tcPr>
          <w:p>
            <w:pPr>
              <w:pStyle w:val="0"/>
            </w:pPr>
            <w:r>
              <w:rPr>
                <w:sz w:val="20"/>
              </w:rPr>
            </w:r>
          </w:p>
        </w:tc>
      </w:tr>
    </w:tbl>
    <w:p>
      <w:pPr>
        <w:pStyle w:val="0"/>
        <w:jc w:val="both"/>
      </w:pPr>
      <w:r>
        <w:rPr>
          <w:sz w:val="20"/>
        </w:rPr>
      </w:r>
    </w:p>
    <w:p>
      <w:pPr>
        <w:pStyle w:val="0"/>
        <w:ind w:firstLine="540"/>
        <w:jc w:val="both"/>
      </w:pPr>
      <w:r>
        <w:rPr>
          <w:sz w:val="20"/>
        </w:rPr>
        <w:t xml:space="preserve">--------------------------------</w:t>
      </w:r>
    </w:p>
    <w:bookmarkStart w:id="369" w:name="P369"/>
    <w:bookmarkEnd w:id="369"/>
    <w:p>
      <w:pPr>
        <w:pStyle w:val="0"/>
        <w:spacing w:before="200" w:line-rule="auto"/>
        <w:ind w:firstLine="540"/>
        <w:jc w:val="both"/>
      </w:pPr>
      <w:r>
        <w:rPr>
          <w:sz w:val="20"/>
        </w:rPr>
        <w:t xml:space="preserve">&lt;1&gt; </w:t>
      </w:r>
      <w:hyperlink w:history="0" r:id="rId76" w:tooltip="&quot;Трудовой кодекс Российской Федерации&quot; от 30.12.2001 N 197-ФЗ (ред. от 31.07.2025) (с изм. и доп., вступ. в силу с 01.09.2025) {КонсультантПлюс}">
        <w:r>
          <w:rPr>
            <w:sz w:val="20"/>
            <w:color w:val="0000ff"/>
          </w:rPr>
          <w:t xml:space="preserve">Статья 220</w:t>
        </w:r>
      </w:hyperlink>
      <w:r>
        <w:rPr>
          <w:sz w:val="20"/>
        </w:rPr>
        <w:t xml:space="preserve"> Трудового кодекса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Порядку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77" w:tooltip="Приказ Минтранса России от 31.03.2025 N 111 &quot;О внесении изменений в Порядок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утвержденный приказом Министерства транспорта Российской Федерации от 11 февраля 2022 г. N 41&quot; (Зарегистрировано {КонсультантПлюс}">
              <w:r>
                <w:rPr>
                  <w:sz w:val="20"/>
                  <w:color w:val="0000ff"/>
                </w:rPr>
                <w:t xml:space="preserve">Приказа</w:t>
              </w:r>
            </w:hyperlink>
            <w:r>
              <w:rPr>
                <w:sz w:val="20"/>
                <w:color w:val="392c69"/>
              </w:rPr>
              <w:t xml:space="preserve"> Минтранса России от 31.03.2025 N 111)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0"/>
        </w:rPr>
      </w:r>
    </w:p>
    <w:p>
      <w:pPr>
        <w:pStyle w:val="0"/>
        <w:jc w:val="right"/>
      </w:pPr>
      <w:r>
        <w:rPr>
          <w:sz w:val="20"/>
        </w:rPr>
        <w:t xml:space="preserve">(рекомендуемый образец)</w:t>
      </w:r>
    </w:p>
    <w:p>
      <w:pPr>
        <w:pStyle w:val="0"/>
        <w:jc w:val="both"/>
      </w:pPr>
      <w:r>
        <w:rPr>
          <w:sz w:val="20"/>
        </w:rPr>
      </w:r>
    </w:p>
    <w:tbl>
      <w:tblPr>
        <w:tblInd w:w="0" w:type="dxa"/>
        <w:tblLayout w:type="fixed"/>
        <w:tblCellMar>
          <w:top w:w="102" w:type="dxa"/>
          <w:left w:w="62" w:type="dxa"/>
          <w:bottom w:w="102" w:type="dxa"/>
          <w:right w:w="62" w:type="dxa"/>
        </w:tblCellMar>
      </w:tblPr>
      <w:tblGrid>
        <w:gridCol w:w="5203"/>
        <w:gridCol w:w="3798"/>
      </w:tblGrid>
      <w:tr>
        <w:tc>
          <w:tcPr>
            <w:tcW w:w="5203" w:type="dxa"/>
            <w:tcBorders>
              <w:top w:val="nil"/>
              <w:left w:val="nil"/>
              <w:bottom w:val="nil"/>
              <w:right w:val="nil"/>
            </w:tcBorders>
          </w:tcPr>
          <w:p>
            <w:pPr>
              <w:pStyle w:val="0"/>
            </w:pPr>
            <w:r>
              <w:rPr>
                <w:sz w:val="20"/>
              </w:rPr>
            </w:r>
          </w:p>
        </w:tc>
        <w:tc>
          <w:tcPr>
            <w:tcW w:w="3798" w:type="dxa"/>
            <w:vAlign w:val="bottom"/>
            <w:tcBorders>
              <w:top w:val="nil"/>
              <w:left w:val="nil"/>
              <w:bottom w:val="nil"/>
              <w:right w:val="nil"/>
            </w:tcBorders>
          </w:tcPr>
          <w:p>
            <w:pPr>
              <w:pStyle w:val="0"/>
              <w:jc w:val="center"/>
            </w:pPr>
            <w:r>
              <w:rPr>
                <w:sz w:val="20"/>
              </w:rPr>
              <w:t xml:space="preserve">Утверждаю:</w:t>
            </w:r>
          </w:p>
        </w:tc>
      </w:tr>
      <w:tr>
        <w:tc>
          <w:tcPr>
            <w:tcW w:w="5203" w:type="dxa"/>
            <w:tcBorders>
              <w:top w:val="nil"/>
              <w:left w:val="nil"/>
              <w:bottom w:val="nil"/>
              <w:right w:val="nil"/>
            </w:tcBorders>
          </w:tcPr>
          <w:p>
            <w:pPr>
              <w:pStyle w:val="0"/>
            </w:pPr>
            <w:r>
              <w:rPr>
                <w:sz w:val="20"/>
              </w:rPr>
            </w:r>
          </w:p>
        </w:tc>
        <w:tc>
          <w:tcPr>
            <w:tcW w:w="3798" w:type="dxa"/>
            <w:vAlign w:val="bottom"/>
            <w:tcBorders>
              <w:top w:val="nil"/>
              <w:left w:val="nil"/>
              <w:bottom w:val="nil"/>
              <w:right w:val="nil"/>
            </w:tcBorders>
          </w:tcPr>
          <w:p>
            <w:pPr>
              <w:pStyle w:val="0"/>
              <w:jc w:val="center"/>
            </w:pPr>
            <w:r>
              <w:rPr>
                <w:sz w:val="20"/>
              </w:rPr>
              <w:t xml:space="preserve">_____________________________</w:t>
            </w:r>
          </w:p>
          <w:p>
            <w:pPr>
              <w:pStyle w:val="0"/>
              <w:jc w:val="center"/>
            </w:pPr>
            <w:r>
              <w:rPr>
                <w:sz w:val="20"/>
              </w:rPr>
              <w:t xml:space="preserve">Руководитель организации гражданской авиации</w:t>
            </w:r>
          </w:p>
        </w:tc>
      </w:tr>
      <w:tr>
        <w:tc>
          <w:tcPr>
            <w:tcW w:w="5203" w:type="dxa"/>
            <w:tcBorders>
              <w:top w:val="nil"/>
              <w:left w:val="nil"/>
              <w:bottom w:val="nil"/>
              <w:right w:val="nil"/>
            </w:tcBorders>
          </w:tcPr>
          <w:p>
            <w:pPr>
              <w:pStyle w:val="0"/>
            </w:pPr>
            <w:r>
              <w:rPr>
                <w:sz w:val="20"/>
              </w:rPr>
            </w:r>
          </w:p>
        </w:tc>
        <w:tc>
          <w:tcPr>
            <w:tcW w:w="3798" w:type="dxa"/>
            <w:tcBorders>
              <w:top w:val="nil"/>
              <w:left w:val="nil"/>
              <w:bottom w:val="nil"/>
              <w:right w:val="nil"/>
            </w:tcBorders>
          </w:tcPr>
          <w:p>
            <w:pPr>
              <w:pStyle w:val="0"/>
              <w:jc w:val="right"/>
            </w:pPr>
            <w:r>
              <w:rPr>
                <w:sz w:val="20"/>
              </w:rPr>
              <w:t xml:space="preserve">"__" ______________ 20__ г.</w:t>
            </w:r>
          </w:p>
          <w:p>
            <w:pPr>
              <w:pStyle w:val="0"/>
              <w:jc w:val="right"/>
            </w:pPr>
            <w:r>
              <w:rPr>
                <w:sz w:val="20"/>
              </w:rPr>
              <w:t xml:space="preserve">непосредственный</w:t>
            </w:r>
          </w:p>
        </w:tc>
      </w:tr>
    </w:tbl>
    <w:p>
      <w:pPr>
        <w:pStyle w:val="0"/>
        <w:jc w:val="both"/>
      </w:pPr>
      <w:r>
        <w:rPr>
          <w:sz w:val="20"/>
        </w:rPr>
      </w:r>
    </w:p>
    <w:bookmarkStart w:id="391" w:name="P391"/>
    <w:bookmarkEnd w:id="391"/>
    <w:p>
      <w:pPr>
        <w:pStyle w:val="1"/>
        <w:jc w:val="both"/>
      </w:pPr>
      <w:r>
        <w:rPr>
          <w:sz w:val="20"/>
        </w:rPr>
        <w:t xml:space="preserve">                             Поименный список</w:t>
      </w:r>
    </w:p>
    <w:p>
      <w:pPr>
        <w:pStyle w:val="1"/>
        <w:jc w:val="both"/>
      </w:pPr>
      <w:r>
        <w:rPr>
          <w:sz w:val="20"/>
        </w:rPr>
        <w:t xml:space="preserve">         специалистов из числа авиационного персонала гражданской</w:t>
      </w:r>
    </w:p>
    <w:p>
      <w:pPr>
        <w:pStyle w:val="1"/>
        <w:jc w:val="both"/>
      </w:pPr>
      <w:r>
        <w:rPr>
          <w:sz w:val="20"/>
        </w:rPr>
        <w:t xml:space="preserve">        авиации, подлежащих обязательным периодическим медицинским</w:t>
      </w:r>
    </w:p>
    <w:p>
      <w:pPr>
        <w:pStyle w:val="1"/>
        <w:jc w:val="both"/>
      </w:pPr>
      <w:r>
        <w:rPr>
          <w:sz w:val="20"/>
        </w:rPr>
        <w:t xml:space="preserve">                           осмотрам в ____ году</w:t>
      </w:r>
    </w:p>
    <w:p>
      <w:pPr>
        <w:pStyle w:val="1"/>
        <w:jc w:val="both"/>
      </w:pPr>
      <w:r>
        <w:rPr>
          <w:sz w:val="20"/>
        </w:rPr>
        <w:t xml:space="preserve">        в ________________________________________________________</w:t>
      </w:r>
    </w:p>
    <w:p>
      <w:pPr>
        <w:pStyle w:val="1"/>
        <w:jc w:val="both"/>
      </w:pPr>
      <w:r>
        <w:rPr>
          <w:sz w:val="20"/>
        </w:rPr>
        <w:t xml:space="preserve">                наименование организации гражданской авиации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258"/>
        <w:gridCol w:w="624"/>
        <w:gridCol w:w="680"/>
        <w:gridCol w:w="1020"/>
        <w:gridCol w:w="1020"/>
        <w:gridCol w:w="964"/>
        <w:gridCol w:w="3458"/>
      </w:tblGrid>
      <w:tr>
        <w:tc>
          <w:tcPr>
            <w:tcW w:w="1258" w:type="dxa"/>
          </w:tcPr>
          <w:p>
            <w:pPr>
              <w:pStyle w:val="0"/>
              <w:jc w:val="center"/>
            </w:pPr>
            <w:r>
              <w:rPr>
                <w:sz w:val="20"/>
              </w:rPr>
              <w:t xml:space="preserve">Фамилия, имя, отчество (при наличии)</w:t>
            </w:r>
          </w:p>
        </w:tc>
        <w:tc>
          <w:tcPr>
            <w:tcW w:w="624" w:type="dxa"/>
          </w:tcPr>
          <w:p>
            <w:pPr>
              <w:pStyle w:val="0"/>
              <w:jc w:val="center"/>
            </w:pPr>
            <w:r>
              <w:rPr>
                <w:sz w:val="20"/>
              </w:rPr>
              <w:t xml:space="preserve">Пол</w:t>
            </w:r>
          </w:p>
        </w:tc>
        <w:tc>
          <w:tcPr>
            <w:tcW w:w="680" w:type="dxa"/>
          </w:tcPr>
          <w:p>
            <w:pPr>
              <w:pStyle w:val="0"/>
              <w:jc w:val="center"/>
            </w:pPr>
            <w:r>
              <w:rPr>
                <w:sz w:val="20"/>
              </w:rPr>
              <w:t xml:space="preserve">Год рождения</w:t>
            </w:r>
          </w:p>
        </w:tc>
        <w:tc>
          <w:tcPr>
            <w:tcW w:w="1020" w:type="dxa"/>
          </w:tcPr>
          <w:p>
            <w:pPr>
              <w:pStyle w:val="0"/>
              <w:jc w:val="center"/>
            </w:pPr>
            <w:r>
              <w:rPr>
                <w:sz w:val="20"/>
              </w:rPr>
              <w:t xml:space="preserve">Структурное подразделение</w:t>
            </w:r>
          </w:p>
        </w:tc>
        <w:tc>
          <w:tcPr>
            <w:tcW w:w="1020" w:type="dxa"/>
          </w:tcPr>
          <w:p>
            <w:pPr>
              <w:pStyle w:val="0"/>
              <w:jc w:val="center"/>
            </w:pPr>
            <w:r>
              <w:rPr>
                <w:sz w:val="20"/>
              </w:rPr>
              <w:t xml:space="preserve">Профессия (должность)</w:t>
            </w:r>
          </w:p>
        </w:tc>
        <w:tc>
          <w:tcPr>
            <w:tcW w:w="964" w:type="dxa"/>
          </w:tcPr>
          <w:p>
            <w:pPr>
              <w:pStyle w:val="0"/>
              <w:jc w:val="center"/>
            </w:pPr>
            <w:r>
              <w:rPr>
                <w:sz w:val="20"/>
              </w:rPr>
              <w:t xml:space="preserve">Стаж работы в этой должности</w:t>
            </w:r>
          </w:p>
        </w:tc>
        <w:tc>
          <w:tcPr>
            <w:tcW w:w="3458" w:type="dxa"/>
          </w:tcPr>
          <w:p>
            <w:pPr>
              <w:pStyle w:val="0"/>
              <w:jc w:val="center"/>
            </w:pPr>
            <w:r>
              <w:rPr>
                <w:sz w:val="20"/>
              </w:rPr>
              <w:t xml:space="preserve">Наименование вредных производственных факторов на рабочем месте по результатам специальной оценки условий труда и (или) видов работ </w:t>
            </w:r>
            <w:hyperlink w:history="0" w:anchor="P421" w:tooltip="&lt;1&gt; Статья 220 Трудового кодекса Российской Федерации.">
              <w:r>
                <w:rPr>
                  <w:sz w:val="20"/>
                  <w:color w:val="0000ff"/>
                </w:rPr>
                <w:t xml:space="preserve">&lt;1&gt;</w:t>
              </w:r>
            </w:hyperlink>
          </w:p>
        </w:tc>
      </w:tr>
      <w:tr>
        <w:tc>
          <w:tcPr>
            <w:tcW w:w="1258" w:type="dxa"/>
          </w:tcPr>
          <w:p>
            <w:pPr>
              <w:pStyle w:val="0"/>
            </w:pPr>
            <w:r>
              <w:rPr>
                <w:sz w:val="20"/>
              </w:rPr>
              <w:t xml:space="preserve">1</w:t>
            </w:r>
          </w:p>
        </w:tc>
        <w:tc>
          <w:tcPr>
            <w:tcW w:w="624" w:type="dxa"/>
          </w:tcPr>
          <w:p>
            <w:pPr>
              <w:pStyle w:val="0"/>
            </w:pPr>
            <w:r>
              <w:rPr>
                <w:sz w:val="20"/>
              </w:rPr>
            </w:r>
          </w:p>
        </w:tc>
        <w:tc>
          <w:tcPr>
            <w:tcW w:w="680" w:type="dxa"/>
          </w:tcPr>
          <w:p>
            <w:pPr>
              <w:pStyle w:val="0"/>
            </w:pPr>
            <w:r>
              <w:rPr>
                <w:sz w:val="20"/>
              </w:rPr>
            </w:r>
          </w:p>
        </w:tc>
        <w:tc>
          <w:tcPr>
            <w:tcW w:w="1020" w:type="dxa"/>
          </w:tcPr>
          <w:p>
            <w:pPr>
              <w:pStyle w:val="0"/>
            </w:pPr>
            <w:r>
              <w:rPr>
                <w:sz w:val="20"/>
              </w:rPr>
            </w:r>
          </w:p>
        </w:tc>
        <w:tc>
          <w:tcPr>
            <w:tcW w:w="1020" w:type="dxa"/>
          </w:tcPr>
          <w:p>
            <w:pPr>
              <w:pStyle w:val="0"/>
            </w:pPr>
            <w:r>
              <w:rPr>
                <w:sz w:val="20"/>
              </w:rPr>
            </w:r>
          </w:p>
        </w:tc>
        <w:tc>
          <w:tcPr>
            <w:tcW w:w="964" w:type="dxa"/>
          </w:tcPr>
          <w:p>
            <w:pPr>
              <w:pStyle w:val="0"/>
            </w:pPr>
            <w:r>
              <w:rPr>
                <w:sz w:val="20"/>
              </w:rPr>
            </w:r>
          </w:p>
        </w:tc>
        <w:tc>
          <w:tcPr>
            <w:tcW w:w="3458" w:type="dxa"/>
          </w:tcPr>
          <w:p>
            <w:pPr>
              <w:pStyle w:val="0"/>
            </w:pPr>
            <w:r>
              <w:rPr>
                <w:sz w:val="20"/>
              </w:rPr>
            </w:r>
          </w:p>
        </w:tc>
      </w:tr>
      <w:tr>
        <w:tc>
          <w:tcPr>
            <w:tcW w:w="1258" w:type="dxa"/>
          </w:tcPr>
          <w:p>
            <w:pPr>
              <w:pStyle w:val="0"/>
            </w:pPr>
            <w:r>
              <w:rPr>
                <w:sz w:val="20"/>
              </w:rPr>
              <w:t xml:space="preserve">2</w:t>
            </w:r>
          </w:p>
        </w:tc>
        <w:tc>
          <w:tcPr>
            <w:tcW w:w="624" w:type="dxa"/>
          </w:tcPr>
          <w:p>
            <w:pPr>
              <w:pStyle w:val="0"/>
            </w:pPr>
            <w:r>
              <w:rPr>
                <w:sz w:val="20"/>
              </w:rPr>
            </w:r>
          </w:p>
        </w:tc>
        <w:tc>
          <w:tcPr>
            <w:tcW w:w="680" w:type="dxa"/>
          </w:tcPr>
          <w:p>
            <w:pPr>
              <w:pStyle w:val="0"/>
            </w:pPr>
            <w:r>
              <w:rPr>
                <w:sz w:val="20"/>
              </w:rPr>
            </w:r>
          </w:p>
        </w:tc>
        <w:tc>
          <w:tcPr>
            <w:tcW w:w="1020" w:type="dxa"/>
          </w:tcPr>
          <w:p>
            <w:pPr>
              <w:pStyle w:val="0"/>
            </w:pPr>
            <w:r>
              <w:rPr>
                <w:sz w:val="20"/>
              </w:rPr>
            </w:r>
          </w:p>
        </w:tc>
        <w:tc>
          <w:tcPr>
            <w:tcW w:w="1020" w:type="dxa"/>
          </w:tcPr>
          <w:p>
            <w:pPr>
              <w:pStyle w:val="0"/>
            </w:pPr>
            <w:r>
              <w:rPr>
                <w:sz w:val="20"/>
              </w:rPr>
            </w:r>
          </w:p>
        </w:tc>
        <w:tc>
          <w:tcPr>
            <w:tcW w:w="964" w:type="dxa"/>
          </w:tcPr>
          <w:p>
            <w:pPr>
              <w:pStyle w:val="0"/>
            </w:pPr>
            <w:r>
              <w:rPr>
                <w:sz w:val="20"/>
              </w:rPr>
            </w:r>
          </w:p>
        </w:tc>
        <w:tc>
          <w:tcPr>
            <w:tcW w:w="3458" w:type="dxa"/>
          </w:tcPr>
          <w:p>
            <w:pPr>
              <w:pStyle w:val="0"/>
            </w:pPr>
            <w:r>
              <w:rPr>
                <w:sz w:val="20"/>
              </w:rPr>
            </w:r>
          </w:p>
        </w:tc>
      </w:tr>
    </w:tbl>
    <w:p>
      <w:pPr>
        <w:pStyle w:val="0"/>
        <w:jc w:val="both"/>
      </w:pPr>
      <w:r>
        <w:rPr>
          <w:sz w:val="20"/>
        </w:rPr>
      </w:r>
    </w:p>
    <w:p>
      <w:pPr>
        <w:pStyle w:val="0"/>
        <w:ind w:firstLine="540"/>
        <w:jc w:val="both"/>
      </w:pPr>
      <w:r>
        <w:rPr>
          <w:sz w:val="20"/>
        </w:rPr>
        <w:t xml:space="preserve">--------------------------------</w:t>
      </w:r>
    </w:p>
    <w:bookmarkStart w:id="421" w:name="P421"/>
    <w:bookmarkEnd w:id="421"/>
    <w:p>
      <w:pPr>
        <w:pStyle w:val="0"/>
        <w:spacing w:before="200" w:line-rule="auto"/>
        <w:ind w:firstLine="540"/>
        <w:jc w:val="both"/>
      </w:pPr>
      <w:r>
        <w:rPr>
          <w:sz w:val="20"/>
        </w:rPr>
        <w:t xml:space="preserve">&lt;1&gt; </w:t>
      </w:r>
      <w:hyperlink w:history="0" r:id="rId78" w:tooltip="&quot;Трудовой кодекс Российской Федерации&quot; от 30.12.2001 N 197-ФЗ (ред. от 31.07.2025) (с изм. и доп., вступ. в силу с 01.09.2025) {КонсультантПлюс}">
        <w:r>
          <w:rPr>
            <w:sz w:val="20"/>
            <w:color w:val="0000ff"/>
          </w:rPr>
          <w:t xml:space="preserve">Статья 220</w:t>
        </w:r>
      </w:hyperlink>
      <w:r>
        <w:rPr>
          <w:sz w:val="20"/>
        </w:rPr>
        <w:t xml:space="preserve"> Трудового кодекса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Порядку</w:t>
      </w:r>
    </w:p>
    <w:p>
      <w:pPr>
        <w:pStyle w:val="0"/>
        <w:jc w:val="right"/>
      </w:pPr>
      <w:r>
        <w:rPr>
          <w:sz w:val="20"/>
        </w:rPr>
      </w:r>
    </w:p>
    <w:p>
      <w:pPr>
        <w:pStyle w:val="0"/>
        <w:jc w:val="right"/>
      </w:pPr>
      <w:r>
        <w:rPr>
          <w:sz w:val="20"/>
        </w:rPr>
        <w:t xml:space="preserve">(рекомендуемый образец)</w:t>
      </w:r>
    </w:p>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432" w:name="P432"/>
          <w:bookmarkEnd w:id="432"/>
          <w:p>
            <w:pPr>
              <w:pStyle w:val="0"/>
              <w:jc w:val="center"/>
            </w:pPr>
            <w:r>
              <w:rPr>
                <w:sz w:val="20"/>
              </w:rPr>
              <w:t xml:space="preserve">Общие сведения</w:t>
            </w:r>
          </w:p>
          <w:p>
            <w:pPr>
              <w:pStyle w:val="0"/>
              <w:jc w:val="center"/>
            </w:pPr>
            <w:r>
              <w:rPr>
                <w:sz w:val="20"/>
              </w:rPr>
              <w:t xml:space="preserve">об организации гражданской авиации, необходимые для составления заключительного акта по результатам периодического медицинского осмотра</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030"/>
        <w:gridCol w:w="1984"/>
      </w:tblGrid>
      <w:tr>
        <w:tc>
          <w:tcPr>
            <w:tcW w:w="7030" w:type="dxa"/>
          </w:tcPr>
          <w:p>
            <w:pPr>
              <w:pStyle w:val="0"/>
            </w:pPr>
            <w:r>
              <w:rPr>
                <w:sz w:val="20"/>
              </w:rPr>
              <w:t xml:space="preserve">Наименование работодателя</w:t>
            </w:r>
          </w:p>
        </w:tc>
        <w:tc>
          <w:tcPr>
            <w:tcW w:w="1984" w:type="dxa"/>
          </w:tcPr>
          <w:p>
            <w:pPr>
              <w:pStyle w:val="0"/>
            </w:pPr>
            <w:r>
              <w:rPr>
                <w:sz w:val="20"/>
              </w:rPr>
            </w:r>
          </w:p>
        </w:tc>
      </w:tr>
      <w:tr>
        <w:tc>
          <w:tcPr>
            <w:tcW w:w="7030" w:type="dxa"/>
          </w:tcPr>
          <w:p>
            <w:pPr>
              <w:pStyle w:val="0"/>
            </w:pPr>
            <w:r>
              <w:rPr>
                <w:sz w:val="20"/>
              </w:rPr>
              <w:t xml:space="preserve">Общая численность специалистов из числа авиационного персонала гражданской авиации</w:t>
            </w:r>
          </w:p>
        </w:tc>
        <w:tc>
          <w:tcPr>
            <w:tcW w:w="1984" w:type="dxa"/>
          </w:tcPr>
          <w:p>
            <w:pPr>
              <w:pStyle w:val="0"/>
            </w:pPr>
            <w:r>
              <w:rPr>
                <w:sz w:val="20"/>
              </w:rPr>
            </w:r>
          </w:p>
        </w:tc>
      </w:tr>
      <w:tr>
        <w:tc>
          <w:tcPr>
            <w:tcW w:w="7030" w:type="dxa"/>
          </w:tcPr>
          <w:p>
            <w:pPr>
              <w:pStyle w:val="0"/>
            </w:pPr>
            <w:r>
              <w:rPr>
                <w:sz w:val="20"/>
              </w:rPr>
              <w:t xml:space="preserve">в том числе:</w:t>
            </w:r>
          </w:p>
        </w:tc>
        <w:tc>
          <w:tcPr>
            <w:tcW w:w="1984" w:type="dxa"/>
          </w:tcPr>
          <w:p>
            <w:pPr>
              <w:pStyle w:val="0"/>
            </w:pPr>
            <w:r>
              <w:rPr>
                <w:sz w:val="20"/>
              </w:rPr>
            </w:r>
          </w:p>
        </w:tc>
      </w:tr>
      <w:tr>
        <w:tc>
          <w:tcPr>
            <w:tcW w:w="7030" w:type="dxa"/>
          </w:tcPr>
          <w:p>
            <w:pPr>
              <w:pStyle w:val="0"/>
              <w:ind w:left="283"/>
            </w:pPr>
            <w:r>
              <w:rPr>
                <w:sz w:val="20"/>
              </w:rPr>
              <w:t xml:space="preserve">женщин</w:t>
            </w:r>
          </w:p>
        </w:tc>
        <w:tc>
          <w:tcPr>
            <w:tcW w:w="1984" w:type="dxa"/>
          </w:tcPr>
          <w:p>
            <w:pPr>
              <w:pStyle w:val="0"/>
            </w:pPr>
            <w:r>
              <w:rPr>
                <w:sz w:val="20"/>
              </w:rPr>
            </w:r>
          </w:p>
        </w:tc>
      </w:tr>
      <w:tr>
        <w:tc>
          <w:tcPr>
            <w:tcW w:w="7030" w:type="dxa"/>
          </w:tcPr>
          <w:p>
            <w:pPr>
              <w:pStyle w:val="0"/>
              <w:ind w:left="283"/>
            </w:pPr>
            <w:r>
              <w:rPr>
                <w:sz w:val="20"/>
              </w:rPr>
              <w:t xml:space="preserve">в возрасте до 18 лет</w:t>
            </w:r>
          </w:p>
        </w:tc>
        <w:tc>
          <w:tcPr>
            <w:tcW w:w="1984" w:type="dxa"/>
          </w:tcPr>
          <w:p>
            <w:pPr>
              <w:pStyle w:val="0"/>
            </w:pPr>
            <w:r>
              <w:rPr>
                <w:sz w:val="20"/>
              </w:rPr>
            </w:r>
          </w:p>
        </w:tc>
      </w:tr>
      <w:tr>
        <w:tc>
          <w:tcPr>
            <w:tcW w:w="7030" w:type="dxa"/>
          </w:tcPr>
          <w:p>
            <w:pPr>
              <w:pStyle w:val="0"/>
              <w:ind w:left="283"/>
            </w:pPr>
            <w:r>
              <w:rPr>
                <w:sz w:val="20"/>
              </w:rPr>
              <w:t xml:space="preserve">имеющих стойкую степень утраты трудоспособности</w:t>
            </w:r>
          </w:p>
        </w:tc>
        <w:tc>
          <w:tcPr>
            <w:tcW w:w="1984" w:type="dxa"/>
          </w:tcPr>
          <w:p>
            <w:pPr>
              <w:pStyle w:val="0"/>
            </w:pPr>
            <w:r>
              <w:rPr>
                <w:sz w:val="20"/>
              </w:rPr>
            </w:r>
          </w:p>
        </w:tc>
      </w:tr>
      <w:tr>
        <w:tc>
          <w:tcPr>
            <w:tcW w:w="7030" w:type="dxa"/>
          </w:tcPr>
          <w:p>
            <w:pPr>
              <w:pStyle w:val="0"/>
            </w:pPr>
            <w:r>
              <w:rPr>
                <w:sz w:val="20"/>
              </w:rPr>
              <w:t xml:space="preserve">Число специалистов из числа авиационного персонала гражданской авиации, подлежащих обязательным периодическим медицинским осмотрам</w:t>
            </w:r>
          </w:p>
        </w:tc>
        <w:tc>
          <w:tcPr>
            <w:tcW w:w="1984" w:type="dxa"/>
          </w:tcPr>
          <w:p>
            <w:pPr>
              <w:pStyle w:val="0"/>
            </w:pPr>
            <w:r>
              <w:rPr>
                <w:sz w:val="20"/>
              </w:rPr>
            </w:r>
          </w:p>
        </w:tc>
      </w:tr>
      <w:tr>
        <w:tc>
          <w:tcPr>
            <w:tcW w:w="7030" w:type="dxa"/>
          </w:tcPr>
          <w:p>
            <w:pPr>
              <w:pStyle w:val="0"/>
            </w:pPr>
            <w:r>
              <w:rPr>
                <w:sz w:val="20"/>
              </w:rPr>
              <w:t xml:space="preserve">в том числе женщин</w:t>
            </w:r>
          </w:p>
        </w:tc>
        <w:tc>
          <w:tcPr>
            <w:tcW w:w="1984" w:type="dxa"/>
          </w:tcPr>
          <w:p>
            <w:pPr>
              <w:pStyle w:val="0"/>
            </w:pPr>
            <w:r>
              <w:rPr>
                <w:sz w:val="20"/>
              </w:rPr>
            </w:r>
          </w:p>
        </w:tc>
      </w:tr>
      <w:tr>
        <w:tc>
          <w:tcPr>
            <w:tcW w:w="7030" w:type="dxa"/>
          </w:tcPr>
          <w:p>
            <w:pPr>
              <w:pStyle w:val="0"/>
            </w:pPr>
            <w:r>
              <w:rPr>
                <w:sz w:val="20"/>
              </w:rPr>
              <w:t xml:space="preserve">Число специалистов из числа авиационного персонала гражданской авиации,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w:t>
            </w:r>
          </w:p>
        </w:tc>
        <w:tc>
          <w:tcPr>
            <w:tcW w:w="1984" w:type="dxa"/>
          </w:tcPr>
          <w:p>
            <w:pPr>
              <w:pStyle w:val="0"/>
            </w:pPr>
            <w:r>
              <w:rPr>
                <w:sz w:val="20"/>
              </w:rPr>
            </w:r>
          </w:p>
        </w:tc>
      </w:tr>
      <w:tr>
        <w:tc>
          <w:tcPr>
            <w:tcW w:w="7030" w:type="dxa"/>
          </w:tcPr>
          <w:p>
            <w:pPr>
              <w:pStyle w:val="0"/>
            </w:pPr>
            <w:r>
              <w:rPr>
                <w:sz w:val="20"/>
              </w:rPr>
              <w:t xml:space="preserve">в том числе:</w:t>
            </w:r>
          </w:p>
        </w:tc>
        <w:tc>
          <w:tcPr>
            <w:tcW w:w="1984" w:type="dxa"/>
          </w:tcPr>
          <w:p>
            <w:pPr>
              <w:pStyle w:val="0"/>
            </w:pPr>
            <w:r>
              <w:rPr>
                <w:sz w:val="20"/>
              </w:rPr>
            </w:r>
          </w:p>
        </w:tc>
      </w:tr>
      <w:tr>
        <w:tc>
          <w:tcPr>
            <w:tcW w:w="7030" w:type="dxa"/>
          </w:tcPr>
          <w:p>
            <w:pPr>
              <w:pStyle w:val="0"/>
              <w:ind w:left="283"/>
            </w:pPr>
            <w:r>
              <w:rPr>
                <w:sz w:val="20"/>
              </w:rPr>
              <w:t xml:space="preserve">женщин</w:t>
            </w:r>
          </w:p>
        </w:tc>
        <w:tc>
          <w:tcPr>
            <w:tcW w:w="1984" w:type="dxa"/>
          </w:tcPr>
          <w:p>
            <w:pPr>
              <w:pStyle w:val="0"/>
            </w:pPr>
            <w:r>
              <w:rPr>
                <w:sz w:val="20"/>
              </w:rPr>
            </w:r>
          </w:p>
        </w:tc>
      </w:tr>
      <w:tr>
        <w:tc>
          <w:tcPr>
            <w:tcW w:w="7030" w:type="dxa"/>
          </w:tcPr>
          <w:p>
            <w:pPr>
              <w:pStyle w:val="0"/>
              <w:ind w:left="283"/>
            </w:pPr>
            <w:r>
              <w:rPr>
                <w:sz w:val="20"/>
              </w:rPr>
              <w:t xml:space="preserve">в возрасте до 18 лет</w:t>
            </w:r>
          </w:p>
        </w:tc>
        <w:tc>
          <w:tcPr>
            <w:tcW w:w="1984" w:type="dxa"/>
          </w:tcPr>
          <w:p>
            <w:pPr>
              <w:pStyle w:val="0"/>
            </w:pPr>
            <w:r>
              <w:rPr>
                <w:sz w:val="20"/>
              </w:rPr>
            </w:r>
          </w:p>
        </w:tc>
      </w:tr>
      <w:tr>
        <w:tc>
          <w:tcPr>
            <w:tcW w:w="7030" w:type="dxa"/>
          </w:tcPr>
          <w:p>
            <w:pPr>
              <w:pStyle w:val="0"/>
              <w:ind w:left="283"/>
            </w:pPr>
            <w:r>
              <w:rPr>
                <w:sz w:val="20"/>
              </w:rPr>
              <w:t xml:space="preserve">имеющих стойкую степень утраты трудоспособности</w:t>
            </w:r>
          </w:p>
        </w:tc>
        <w:tc>
          <w:tcPr>
            <w:tcW w:w="1984" w:type="dxa"/>
          </w:tcPr>
          <w:p>
            <w:pPr>
              <w:pStyle w:val="0"/>
            </w:pPr>
            <w:r>
              <w:rPr>
                <w:sz w:val="20"/>
              </w:rPr>
            </w:r>
          </w:p>
        </w:tc>
      </w:tr>
      <w:tr>
        <w:tc>
          <w:tcPr>
            <w:tcW w:w="7030" w:type="dxa"/>
          </w:tcPr>
          <w:p>
            <w:pPr>
              <w:pStyle w:val="0"/>
            </w:pPr>
            <w:r>
              <w:rPr>
                <w:sz w:val="20"/>
              </w:rPr>
              <w:t xml:space="preserve">Число специалистов из числа авиационного персонала гражданской авиации, подлежащих обязательному периодическому медицинскому осмотру по договору с данной медицинской организацией</w:t>
            </w:r>
          </w:p>
        </w:tc>
        <w:tc>
          <w:tcPr>
            <w:tcW w:w="1984" w:type="dxa"/>
          </w:tcPr>
          <w:p>
            <w:pPr>
              <w:pStyle w:val="0"/>
            </w:pPr>
            <w:r>
              <w:rPr>
                <w:sz w:val="20"/>
              </w:rPr>
            </w:r>
          </w:p>
        </w:tc>
      </w:tr>
      <w:tr>
        <w:tc>
          <w:tcPr>
            <w:tcW w:w="7030" w:type="dxa"/>
          </w:tcPr>
          <w:p>
            <w:pPr>
              <w:pStyle w:val="0"/>
            </w:pPr>
            <w:r>
              <w:rPr>
                <w:sz w:val="20"/>
              </w:rPr>
              <w:t xml:space="preserve">в том числе:</w:t>
            </w:r>
          </w:p>
        </w:tc>
        <w:tc>
          <w:tcPr>
            <w:tcW w:w="1984" w:type="dxa"/>
          </w:tcPr>
          <w:p>
            <w:pPr>
              <w:pStyle w:val="0"/>
            </w:pPr>
            <w:r>
              <w:rPr>
                <w:sz w:val="20"/>
              </w:rPr>
            </w:r>
          </w:p>
        </w:tc>
      </w:tr>
      <w:tr>
        <w:tc>
          <w:tcPr>
            <w:tcW w:w="7030" w:type="dxa"/>
          </w:tcPr>
          <w:p>
            <w:pPr>
              <w:pStyle w:val="0"/>
              <w:ind w:left="283"/>
            </w:pPr>
            <w:r>
              <w:rPr>
                <w:sz w:val="20"/>
              </w:rPr>
              <w:t xml:space="preserve">женщин</w:t>
            </w:r>
          </w:p>
        </w:tc>
        <w:tc>
          <w:tcPr>
            <w:tcW w:w="1984" w:type="dxa"/>
          </w:tcPr>
          <w:p>
            <w:pPr>
              <w:pStyle w:val="0"/>
            </w:pPr>
            <w:r>
              <w:rPr>
                <w:sz w:val="20"/>
              </w:rPr>
            </w:r>
          </w:p>
        </w:tc>
      </w:tr>
      <w:tr>
        <w:tc>
          <w:tcPr>
            <w:tcW w:w="7030" w:type="dxa"/>
          </w:tcPr>
          <w:p>
            <w:pPr>
              <w:pStyle w:val="0"/>
              <w:ind w:left="283"/>
            </w:pPr>
            <w:r>
              <w:rPr>
                <w:sz w:val="20"/>
              </w:rPr>
              <w:t xml:space="preserve">в возрасте до 18 лет</w:t>
            </w:r>
          </w:p>
        </w:tc>
        <w:tc>
          <w:tcPr>
            <w:tcW w:w="1984" w:type="dxa"/>
          </w:tcPr>
          <w:p>
            <w:pPr>
              <w:pStyle w:val="0"/>
            </w:pPr>
            <w:r>
              <w:rPr>
                <w:sz w:val="20"/>
              </w:rPr>
            </w:r>
          </w:p>
        </w:tc>
      </w:tr>
      <w:tr>
        <w:tc>
          <w:tcPr>
            <w:tcW w:w="7030" w:type="dxa"/>
          </w:tcPr>
          <w:p>
            <w:pPr>
              <w:pStyle w:val="0"/>
              <w:ind w:left="283"/>
            </w:pPr>
            <w:r>
              <w:rPr>
                <w:sz w:val="20"/>
              </w:rPr>
              <w:t xml:space="preserve">имеющих стойкую степень утраты трудоспособности</w:t>
            </w:r>
          </w:p>
        </w:tc>
        <w:tc>
          <w:tcPr>
            <w:tcW w:w="1984" w:type="dxa"/>
          </w:tcPr>
          <w:p>
            <w:pPr>
              <w:pStyle w:val="0"/>
            </w:pPr>
            <w:r>
              <w:rPr>
                <w:sz w:val="20"/>
              </w:rPr>
            </w:r>
          </w:p>
        </w:tc>
      </w:tr>
      <w:tr>
        <w:tc>
          <w:tcPr>
            <w:gridSpan w:val="2"/>
            <w:tcW w:w="9014" w:type="dxa"/>
          </w:tcPr>
          <w:p>
            <w:pPr>
              <w:pStyle w:val="0"/>
              <w:outlineLvl w:val="2"/>
              <w:jc w:val="center"/>
            </w:pPr>
            <w:r>
              <w:rPr>
                <w:sz w:val="20"/>
              </w:rPr>
              <w:t xml:space="preserve">Сведения о выполнении рекомендаций предыдущего заключительного акта по результатам периодического медицинского осмотра</w:t>
            </w:r>
          </w:p>
        </w:tc>
      </w:tr>
      <w:tr>
        <w:tc>
          <w:tcPr>
            <w:gridSpan w:val="2"/>
            <w:tcW w:w="9014" w:type="dxa"/>
          </w:tcPr>
          <w:p>
            <w:pPr>
              <w:pStyle w:val="0"/>
            </w:pPr>
            <w:r>
              <w:rPr>
                <w:sz w:val="20"/>
              </w:rPr>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Минтранса России от 11.02.2022 N 41</w:t>
            <w:br/>
            <w:t>(ред. от 31.03.2025)</w:t>
            <w:br/>
            <w:t>"Об утверждении Порядка проведения предварительных (при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24.09.2025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505023&amp;dst=100006" TargetMode = "External"/>
	<Relationship Id="rId8" Type="http://schemas.openxmlformats.org/officeDocument/2006/relationships/hyperlink" Target="https://login.consultant.ru/link/?req=doc&amp;base=LAW&amp;n=499925&amp;dst=100726" TargetMode = "External"/>
	<Relationship Id="rId9" Type="http://schemas.openxmlformats.org/officeDocument/2006/relationships/hyperlink" Target="https://login.consultant.ru/link/?req=doc&amp;base=LAW&amp;n=512595&amp;dst=86" TargetMode = "External"/>
	<Relationship Id="rId10" Type="http://schemas.openxmlformats.org/officeDocument/2006/relationships/hyperlink" Target="https://login.consultant.ru/link/?req=doc&amp;base=LAW&amp;n=512595&amp;dst=176" TargetMode = "External"/>
	<Relationship Id="rId11" Type="http://schemas.openxmlformats.org/officeDocument/2006/relationships/hyperlink" Target="https://login.consultant.ru/link/?req=doc&amp;base=LAW&amp;n=505023&amp;dst=100006" TargetMode = "External"/>
	<Relationship Id="rId12" Type="http://schemas.openxmlformats.org/officeDocument/2006/relationships/hyperlink" Target="https://login.consultant.ru/link/?req=doc&amp;base=LAW&amp;n=476615&amp;dst=100013" TargetMode = "External"/>
	<Relationship Id="rId13" Type="http://schemas.openxmlformats.org/officeDocument/2006/relationships/hyperlink" Target="https://login.consultant.ru/link/?req=doc&amp;base=LAW&amp;n=505023&amp;dst=100011" TargetMode = "External"/>
	<Relationship Id="rId14" Type="http://schemas.openxmlformats.org/officeDocument/2006/relationships/hyperlink" Target="https://login.consultant.ru/link/?req=doc&amp;base=LAW&amp;n=476615" TargetMode = "External"/>
	<Relationship Id="rId15" Type="http://schemas.openxmlformats.org/officeDocument/2006/relationships/hyperlink" Target="https://login.consultant.ru/link/?req=doc&amp;base=LAW&amp;n=476615&amp;dst=100010" TargetMode = "External"/>
	<Relationship Id="rId16" Type="http://schemas.openxmlformats.org/officeDocument/2006/relationships/hyperlink" Target="https://login.consultant.ru/link/?req=doc&amp;base=LAW&amp;n=505023&amp;dst=100012" TargetMode = "External"/>
	<Relationship Id="rId17" Type="http://schemas.openxmlformats.org/officeDocument/2006/relationships/hyperlink" Target="https://login.consultant.ru/link/?req=doc&amp;base=LAW&amp;n=502639&amp;dst=100295" TargetMode = "External"/>
	<Relationship Id="rId18" Type="http://schemas.openxmlformats.org/officeDocument/2006/relationships/hyperlink" Target="https://login.consultant.ru/link/?req=doc&amp;base=LAW&amp;n=505023&amp;dst=100014" TargetMode = "External"/>
	<Relationship Id="rId19" Type="http://schemas.openxmlformats.org/officeDocument/2006/relationships/hyperlink" Target="https://login.consultant.ru/link/?req=doc&amp;base=LAW&amp;n=505023&amp;dst=100015" TargetMode = "External"/>
	<Relationship Id="rId20" Type="http://schemas.openxmlformats.org/officeDocument/2006/relationships/hyperlink" Target="https://login.consultant.ru/link/?req=doc&amp;base=LAW&amp;n=157003" TargetMode = "External"/>
	<Relationship Id="rId21" Type="http://schemas.openxmlformats.org/officeDocument/2006/relationships/hyperlink" Target="https://login.consultant.ru/link/?req=doc&amp;base=LAW&amp;n=505023&amp;dst=100017" TargetMode = "External"/>
	<Relationship Id="rId22" Type="http://schemas.openxmlformats.org/officeDocument/2006/relationships/hyperlink" Target="https://login.consultant.ru/link/?req=doc&amp;base=LAW&amp;n=505023&amp;dst=100018" TargetMode = "External"/>
	<Relationship Id="rId23" Type="http://schemas.openxmlformats.org/officeDocument/2006/relationships/hyperlink" Target="https://login.consultant.ru/link/?req=doc&amp;base=LAW&amp;n=502701&amp;dst=2763" TargetMode = "External"/>
	<Relationship Id="rId24" Type="http://schemas.openxmlformats.org/officeDocument/2006/relationships/hyperlink" Target="https://login.consultant.ru/link/?req=doc&amp;base=LAW&amp;n=505023&amp;dst=100019" TargetMode = "External"/>
	<Relationship Id="rId25" Type="http://schemas.openxmlformats.org/officeDocument/2006/relationships/hyperlink" Target="https://login.consultant.ru/link/?req=doc&amp;base=LAW&amp;n=499925&amp;dst=100739" TargetMode = "External"/>
	<Relationship Id="rId26" Type="http://schemas.openxmlformats.org/officeDocument/2006/relationships/hyperlink" Target="https://login.consultant.ru/link/?req=doc&amp;base=LAW&amp;n=505023&amp;dst=100021" TargetMode = "External"/>
	<Relationship Id="rId27" Type="http://schemas.openxmlformats.org/officeDocument/2006/relationships/hyperlink" Target="https://login.consultant.ru/link/?req=doc&amp;base=LAW&amp;n=476615&amp;dst=100014" TargetMode = "External"/>
	<Relationship Id="rId28" Type="http://schemas.openxmlformats.org/officeDocument/2006/relationships/hyperlink" Target="https://login.consultant.ru/link/?req=doc&amp;base=LAW&amp;n=505023&amp;dst=100024" TargetMode = "External"/>
	<Relationship Id="rId29" Type="http://schemas.openxmlformats.org/officeDocument/2006/relationships/hyperlink" Target="https://login.consultant.ru/link/?req=doc&amp;base=LAW&amp;n=476615&amp;dst=100036" TargetMode = "External"/>
	<Relationship Id="rId30" Type="http://schemas.openxmlformats.org/officeDocument/2006/relationships/hyperlink" Target="https://login.consultant.ru/link/?req=doc&amp;base=LAW&amp;n=505023&amp;dst=100026" TargetMode = "External"/>
	<Relationship Id="rId31" Type="http://schemas.openxmlformats.org/officeDocument/2006/relationships/hyperlink" Target="https://login.consultant.ru/link/?req=doc&amp;base=LAW&amp;n=476615&amp;dst=100041" TargetMode = "External"/>
	<Relationship Id="rId32" Type="http://schemas.openxmlformats.org/officeDocument/2006/relationships/hyperlink" Target="https://login.consultant.ru/link/?req=doc&amp;base=LAW&amp;n=505023&amp;dst=100028" TargetMode = "External"/>
	<Relationship Id="rId33" Type="http://schemas.openxmlformats.org/officeDocument/2006/relationships/hyperlink" Target="https://login.consultant.ru/link/?req=doc&amp;base=LAW&amp;n=505023&amp;dst=100023" TargetMode = "External"/>
	<Relationship Id="rId34" Type="http://schemas.openxmlformats.org/officeDocument/2006/relationships/hyperlink" Target="https://login.consultant.ru/link/?req=doc&amp;base=LAW&amp;n=505891&amp;dst=100146" TargetMode = "External"/>
	<Relationship Id="rId35" Type="http://schemas.openxmlformats.org/officeDocument/2006/relationships/hyperlink" Target="https://login.consultant.ru/link/?req=doc&amp;base=LAW&amp;n=505023&amp;dst=100030" TargetMode = "External"/>
	<Relationship Id="rId36" Type="http://schemas.openxmlformats.org/officeDocument/2006/relationships/hyperlink" Target="https://login.consultant.ru/link/?req=doc&amp;base=LAW&amp;n=505023&amp;dst=100031" TargetMode = "External"/>
	<Relationship Id="rId37" Type="http://schemas.openxmlformats.org/officeDocument/2006/relationships/hyperlink" Target="https://login.consultant.ru/link/?req=doc&amp;base=LAW&amp;n=505023&amp;dst=100032" TargetMode = "External"/>
	<Relationship Id="rId38" Type="http://schemas.openxmlformats.org/officeDocument/2006/relationships/hyperlink" Target="https://login.consultant.ru/link/?req=doc&amp;base=LAW&amp;n=511078&amp;dst=397" TargetMode = "External"/>
	<Relationship Id="rId39" Type="http://schemas.openxmlformats.org/officeDocument/2006/relationships/hyperlink" Target="https://login.consultant.ru/link/?req=doc&amp;base=LAW&amp;n=505023&amp;dst=100033" TargetMode = "External"/>
	<Relationship Id="rId40" Type="http://schemas.openxmlformats.org/officeDocument/2006/relationships/hyperlink" Target="https://login.consultant.ru/link/?req=doc&amp;base=LAW&amp;n=505023&amp;dst=100035" TargetMode = "External"/>
	<Relationship Id="rId41" Type="http://schemas.openxmlformats.org/officeDocument/2006/relationships/hyperlink" Target="https://login.consultant.ru/link/?req=doc&amp;base=LAW&amp;n=505023&amp;dst=100038" TargetMode = "External"/>
	<Relationship Id="rId42" Type="http://schemas.openxmlformats.org/officeDocument/2006/relationships/hyperlink" Target="https://login.consultant.ru/link/?req=doc&amp;base=LAW&amp;n=502701&amp;dst=2758" TargetMode = "External"/>
	<Relationship Id="rId43" Type="http://schemas.openxmlformats.org/officeDocument/2006/relationships/hyperlink" Target="https://login.consultant.ru/link/?req=doc&amp;base=LAW&amp;n=505023&amp;dst=100039" TargetMode = "External"/>
	<Relationship Id="rId44" Type="http://schemas.openxmlformats.org/officeDocument/2006/relationships/hyperlink" Target="https://login.consultant.ru/link/?req=doc&amp;base=LAW&amp;n=505023&amp;dst=100041" TargetMode = "External"/>
	<Relationship Id="rId45" Type="http://schemas.openxmlformats.org/officeDocument/2006/relationships/hyperlink" Target="https://login.consultant.ru/link/?req=doc&amp;base=LAW&amp;n=502701&amp;dst=2762" TargetMode = "External"/>
	<Relationship Id="rId46" Type="http://schemas.openxmlformats.org/officeDocument/2006/relationships/hyperlink" Target="https://login.consultant.ru/link/?req=doc&amp;base=LAW&amp;n=505023&amp;dst=100042" TargetMode = "External"/>
	<Relationship Id="rId47" Type="http://schemas.openxmlformats.org/officeDocument/2006/relationships/hyperlink" Target="https://login.consultant.ru/link/?req=doc&amp;base=LAW&amp;n=489748&amp;dst=100013" TargetMode = "External"/>
	<Relationship Id="rId48" Type="http://schemas.openxmlformats.org/officeDocument/2006/relationships/hyperlink" Target="https://login.consultant.ru/link/?req=doc&amp;base=LAW&amp;n=502701&amp;dst=2758" TargetMode = "External"/>
	<Relationship Id="rId49" Type="http://schemas.openxmlformats.org/officeDocument/2006/relationships/hyperlink" Target="https://login.consultant.ru/link/?req=doc&amp;base=LAW&amp;n=505023&amp;dst=100043" TargetMode = "External"/>
	<Relationship Id="rId50" Type="http://schemas.openxmlformats.org/officeDocument/2006/relationships/hyperlink" Target="https://login.consultant.ru/link/?req=doc&amp;base=LAW&amp;n=489748&amp;dst=100009" TargetMode = "External"/>
	<Relationship Id="rId51" Type="http://schemas.openxmlformats.org/officeDocument/2006/relationships/hyperlink" Target="https://login.consultant.ru/link/?req=doc&amp;base=LAW&amp;n=505023&amp;dst=100044" TargetMode = "External"/>
	<Relationship Id="rId52" Type="http://schemas.openxmlformats.org/officeDocument/2006/relationships/hyperlink" Target="https://login.consultant.ru/link/?req=doc&amp;base=LAW&amp;n=505023&amp;dst=100046" TargetMode = "External"/>
	<Relationship Id="rId53" Type="http://schemas.openxmlformats.org/officeDocument/2006/relationships/hyperlink" Target="https://login.consultant.ru/link/?req=doc&amp;base=LAW&amp;n=505023&amp;dst=100047" TargetMode = "External"/>
	<Relationship Id="rId54" Type="http://schemas.openxmlformats.org/officeDocument/2006/relationships/hyperlink" Target="https://login.consultant.ru/link/?req=doc&amp;base=LAW&amp;n=489748&amp;dst=100013" TargetMode = "External"/>
	<Relationship Id="rId55" Type="http://schemas.openxmlformats.org/officeDocument/2006/relationships/hyperlink" Target="https://login.consultant.ru/link/?req=doc&amp;base=LAW&amp;n=505023&amp;dst=100048" TargetMode = "External"/>
	<Relationship Id="rId56" Type="http://schemas.openxmlformats.org/officeDocument/2006/relationships/hyperlink" Target="https://login.consultant.ru/link/?req=doc&amp;base=LAW&amp;n=505023&amp;dst=100049" TargetMode = "External"/>
	<Relationship Id="rId57" Type="http://schemas.openxmlformats.org/officeDocument/2006/relationships/hyperlink" Target="https://login.consultant.ru/link/?req=doc&amp;base=LAW&amp;n=513070&amp;dst=100010" TargetMode = "External"/>
	<Relationship Id="rId58" Type="http://schemas.openxmlformats.org/officeDocument/2006/relationships/hyperlink" Target="https://login.consultant.ru/link/?req=doc&amp;base=LAW&amp;n=502639&amp;dst=100295" TargetMode = "External"/>
	<Relationship Id="rId59" Type="http://schemas.openxmlformats.org/officeDocument/2006/relationships/hyperlink" Target="https://login.consultant.ru/link/?req=doc&amp;base=LAW&amp;n=505023&amp;dst=100050" TargetMode = "External"/>
	<Relationship Id="rId60" Type="http://schemas.openxmlformats.org/officeDocument/2006/relationships/hyperlink" Target="https://login.consultant.ru/link/?req=doc&amp;base=LAW&amp;n=489748&amp;dst=100013" TargetMode = "External"/>
	<Relationship Id="rId61" Type="http://schemas.openxmlformats.org/officeDocument/2006/relationships/hyperlink" Target="https://login.consultant.ru/link/?req=doc&amp;base=LAW&amp;n=489748&amp;dst=100013" TargetMode = "External"/>
	<Relationship Id="rId62" Type="http://schemas.openxmlformats.org/officeDocument/2006/relationships/hyperlink" Target="https://login.consultant.ru/link/?req=doc&amp;base=LAW&amp;n=358689&amp;dst=100010" TargetMode = "External"/>
	<Relationship Id="rId63" Type="http://schemas.openxmlformats.org/officeDocument/2006/relationships/hyperlink" Target="https://login.consultant.ru/link/?req=doc&amp;base=LAW&amp;n=58773" TargetMode = "External"/>
	<Relationship Id="rId64" Type="http://schemas.openxmlformats.org/officeDocument/2006/relationships/hyperlink" Target="https://login.consultant.ru/link/?req=doc&amp;base=LAW&amp;n=58773&amp;dst=100392" TargetMode = "External"/>
	<Relationship Id="rId65" Type="http://schemas.openxmlformats.org/officeDocument/2006/relationships/hyperlink" Target="https://login.consultant.ru/link/?req=doc&amp;base=LAW&amp;n=58773&amp;dst=100462" TargetMode = "External"/>
	<Relationship Id="rId66" Type="http://schemas.openxmlformats.org/officeDocument/2006/relationships/hyperlink" Target="https://login.consultant.ru/link/?req=doc&amp;base=LAW&amp;n=58773&amp;dst=100462" TargetMode = "External"/>
	<Relationship Id="rId67" Type="http://schemas.openxmlformats.org/officeDocument/2006/relationships/hyperlink" Target="https://login.consultant.ru/link/?req=doc&amp;base=LAW&amp;n=58773&amp;dst=100476" TargetMode = "External"/>
	<Relationship Id="rId68" Type="http://schemas.openxmlformats.org/officeDocument/2006/relationships/hyperlink" Target="https://login.consultant.ru/link/?req=doc&amp;base=LAW&amp;n=505023&amp;dst=100052" TargetMode = "External"/>
	<Relationship Id="rId69" Type="http://schemas.openxmlformats.org/officeDocument/2006/relationships/hyperlink" Target="https://login.consultant.ru/link/?req=doc&amp;base=LAW&amp;n=502701&amp;dst=2754" TargetMode = "External"/>
	<Relationship Id="rId70" Type="http://schemas.openxmlformats.org/officeDocument/2006/relationships/hyperlink" Target="https://login.consultant.ru/link/?req=doc&amp;base=LAW&amp;n=505023&amp;dst=100053" TargetMode = "External"/>
	<Relationship Id="rId71" Type="http://schemas.openxmlformats.org/officeDocument/2006/relationships/hyperlink" Target="https://login.consultant.ru/link/?req=doc&amp;base=LAW&amp;n=505023&amp;dst=100054" TargetMode = "External"/>
	<Relationship Id="rId72" Type="http://schemas.openxmlformats.org/officeDocument/2006/relationships/hyperlink" Target="https://login.consultant.ru/link/?req=doc&amp;base=LAW&amp;n=505023&amp;dst=100055" TargetMode = "External"/>
	<Relationship Id="rId73" Type="http://schemas.openxmlformats.org/officeDocument/2006/relationships/hyperlink" Target="https://login.consultant.ru/link/?req=doc&amp;base=LAW&amp;n=505023&amp;dst=100056" TargetMode = "External"/>
	<Relationship Id="rId74" Type="http://schemas.openxmlformats.org/officeDocument/2006/relationships/hyperlink" Target="https://login.consultant.ru/link/?req=doc&amp;base=LAW&amp;n=512750" TargetMode = "External"/>
	<Relationship Id="rId75" Type="http://schemas.openxmlformats.org/officeDocument/2006/relationships/hyperlink" Target="https://login.consultant.ru/link/?req=doc&amp;base=LAW&amp;n=505023&amp;dst=100058" TargetMode = "External"/>
	<Relationship Id="rId76" Type="http://schemas.openxmlformats.org/officeDocument/2006/relationships/hyperlink" Target="https://login.consultant.ru/link/?req=doc&amp;base=LAW&amp;n=502701&amp;dst=2759" TargetMode = "External"/>
	<Relationship Id="rId77" Type="http://schemas.openxmlformats.org/officeDocument/2006/relationships/hyperlink" Target="https://login.consultant.ru/link/?req=doc&amp;base=LAW&amp;n=505023&amp;dst=100059" TargetMode = "External"/>
	<Relationship Id="rId78" Type="http://schemas.openxmlformats.org/officeDocument/2006/relationships/hyperlink" Target="https://login.consultant.ru/link/?req=doc&amp;base=LAW&amp;n=502701&amp;dst=2759"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4025.00.02</Application>
  <Company>КонсультантПлюс Версия 4025.00.02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Минтранса России от 11.02.2022 N 41
(ред. от 31.03.2025)
"Об утверждении Порядка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(Зарегистрировано в Минюсте России 25.02.2022 N 67459)</dc:title>
  <dcterms:created xsi:type="dcterms:W3CDTF">2025-09-24T06:02:09Z</dcterms:created>
</cp:coreProperties>
</file>