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4"/>
              </w:rPr>
              <w:t xml:space="preserve">Приказ Минтранса России от 10.12.2021 N 437</w:t>
              <w:br/>
              <w:t xml:space="preserve">(ред. от 16.04.2024)</w:t>
              <w:br/>
              <w:t xml:space="preserve">"Об утверждении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w:t>
              <w:br/>
              <w:t xml:space="preserve">(Зарегистрировано в Минюсте России 23.12.2021 N 66527)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23 декабря 2021 г. N 66527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ТРАНСПОРТА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10 декабря 2021 г. N 437</w:t>
      </w:r>
    </w:p>
    <w:p>
      <w:pPr>
        <w:pStyle w:val="2"/>
        <w:jc w:val="center"/>
      </w:pPr>
      <w:r>
        <w:rPr>
          <w:sz w:val="20"/>
        </w:rPr>
      </w:r>
    </w:p>
    <w:p>
      <w:pPr>
        <w:pStyle w:val="2"/>
        <w:jc w:val="center"/>
      </w:pPr>
      <w:r>
        <w:rPr>
          <w:sz w:val="20"/>
        </w:rPr>
        <w:t xml:space="preserve">ОБ УТВЕРЖДЕНИИ ФЕДЕРАЛЬНЫХ АВИАЦИОННЫХ ПРАВИЛ</w:t>
      </w:r>
    </w:p>
    <w:p>
      <w:pPr>
        <w:pStyle w:val="2"/>
        <w:jc w:val="center"/>
      </w:pPr>
      <w:r>
        <w:rPr>
          <w:sz w:val="20"/>
        </w:rPr>
        <w:t xml:space="preserve">"ПОРЯДОК ПРОВЕДЕНИЯ ОБЯЗАТЕЛЬНОГО МЕДИЦИНСКОГО</w:t>
      </w:r>
    </w:p>
    <w:p>
      <w:pPr>
        <w:pStyle w:val="2"/>
        <w:jc w:val="center"/>
      </w:pPr>
      <w:r>
        <w:rPr>
          <w:sz w:val="20"/>
        </w:rPr>
        <w:t xml:space="preserve">ОСВИДЕТЕЛЬСТВОВАНИЯ ЦЕНТРАЛЬНОЙ ВРАЧЕБНО-ЛЕТНОЙ ЭКСПЕРТНОЙ</w:t>
      </w:r>
    </w:p>
    <w:p>
      <w:pPr>
        <w:pStyle w:val="2"/>
        <w:jc w:val="center"/>
      </w:pPr>
      <w:r>
        <w:rPr>
          <w:sz w:val="20"/>
        </w:rPr>
        <w:t xml:space="preserve">КОМИССИЕЙ И ВРАЧЕБНО-ЛЕТНЫМИ ЭКСПЕРТНЫМИ КОМИССИЯМИ</w:t>
      </w:r>
    </w:p>
    <w:p>
      <w:pPr>
        <w:pStyle w:val="2"/>
        <w:jc w:val="center"/>
      </w:pPr>
      <w:r>
        <w:rPr>
          <w:sz w:val="20"/>
        </w:rPr>
        <w:t xml:space="preserve">ЧЛЕНОВ ЛЕТНОГО ЭКИПАЖА ГРАЖДАНСКОГО ВОЗДУШНОГО СУДНА,</w:t>
      </w:r>
    </w:p>
    <w:p>
      <w:pPr>
        <w:pStyle w:val="2"/>
        <w:jc w:val="center"/>
      </w:pPr>
      <w:r>
        <w:rPr>
          <w:sz w:val="20"/>
        </w:rPr>
        <w:t xml:space="preserve">ЗА ИСКЛЮЧЕНИЕМ СВЕРХЛЕГКОГО ПИЛОТИРУЕМОГО ГРАЖДАНСКОГО</w:t>
      </w:r>
    </w:p>
    <w:p>
      <w:pPr>
        <w:pStyle w:val="2"/>
        <w:jc w:val="center"/>
      </w:pPr>
      <w:r>
        <w:rPr>
          <w:sz w:val="20"/>
        </w:rPr>
        <w:t xml:space="preserve">ВОЗДУШНОГО СУДНА С МАССОЙ КОНСТРУКЦИИ 115 КИЛОГРАММОВ</w:t>
      </w:r>
    </w:p>
    <w:p>
      <w:pPr>
        <w:pStyle w:val="2"/>
        <w:jc w:val="center"/>
      </w:pPr>
      <w:r>
        <w:rPr>
          <w:sz w:val="20"/>
        </w:rPr>
        <w:t xml:space="preserve">И МЕНЕЕ, БЕСПИЛОТНОГО ГРАЖДАНСКОГО ВОЗДУШНОГО СУДНА</w:t>
      </w:r>
    </w:p>
    <w:p>
      <w:pPr>
        <w:pStyle w:val="2"/>
        <w:jc w:val="center"/>
      </w:pPr>
      <w:r>
        <w:rPr>
          <w:sz w:val="20"/>
        </w:rPr>
        <w:t xml:space="preserve">С МАКСИМАЛЬНОЙ ВЗЛЕТНОЙ МАССОЙ 30 КИЛОГРАММОВ И МЕНЕЕ,</w:t>
      </w:r>
    </w:p>
    <w:p>
      <w:pPr>
        <w:pStyle w:val="2"/>
        <w:jc w:val="center"/>
      </w:pPr>
      <w:r>
        <w:rPr>
          <w:sz w:val="20"/>
        </w:rPr>
        <w:t xml:space="preserve">ДИСПЕТЧЕРОВ УПРАВЛЕНИЯ ВОЗДУШНЫМ ДВИЖЕНИЕМ И ЛИЦ,</w:t>
      </w:r>
    </w:p>
    <w:p>
      <w:pPr>
        <w:pStyle w:val="2"/>
        <w:jc w:val="center"/>
      </w:pPr>
      <w:r>
        <w:rPr>
          <w:sz w:val="20"/>
        </w:rPr>
        <w:t xml:space="preserve">ПОСТУПАЮЩИХ В ОБРАЗОВАТЕЛЬНЫЕ ОРГАНИЗАЦИИ, КОТОРЫЕ</w:t>
      </w:r>
    </w:p>
    <w:p>
      <w:pPr>
        <w:pStyle w:val="2"/>
        <w:jc w:val="center"/>
      </w:pPr>
      <w:r>
        <w:rPr>
          <w:sz w:val="20"/>
        </w:rPr>
        <w:t xml:space="preserve">ОСУЩЕСТВЛЯЮТ ОБУЧЕНИЕ СПЕЦИАЛИСТОВ СОГЛАСНО ПЕРЕЧНЮ</w:t>
      </w:r>
    </w:p>
    <w:p>
      <w:pPr>
        <w:pStyle w:val="2"/>
        <w:jc w:val="center"/>
      </w:pPr>
      <w:r>
        <w:rPr>
          <w:sz w:val="20"/>
        </w:rPr>
        <w:t xml:space="preserve">СПЕЦИАЛИСТОВ АВИАЦИОННОГО ПЕРСОНАЛА ГРАЖДАНСКОЙ АВИАЦИИ,</w:t>
      </w:r>
    </w:p>
    <w:p>
      <w:pPr>
        <w:pStyle w:val="2"/>
        <w:jc w:val="center"/>
      </w:pPr>
      <w:r>
        <w:rPr>
          <w:sz w:val="20"/>
        </w:rPr>
        <w:t xml:space="preserve">И ПРЕТЕНДУЮЩИХ НА ПОЛУЧЕНИЕ СВИДЕТЕЛЬСТВ, ПОЗВОЛЯЮЩИХ</w:t>
      </w:r>
    </w:p>
    <w:p>
      <w:pPr>
        <w:pStyle w:val="2"/>
        <w:jc w:val="center"/>
      </w:pPr>
      <w:r>
        <w:rPr>
          <w:sz w:val="20"/>
        </w:rPr>
        <w:t xml:space="preserve">ВЫПОЛНЯТЬ ФУНКЦИИ ЧЛЕНОВ ЛЕТНОГО ЭКИПАЖА ГРАЖДАНСКОГО</w:t>
      </w:r>
    </w:p>
    <w:p>
      <w:pPr>
        <w:pStyle w:val="2"/>
        <w:jc w:val="center"/>
      </w:pPr>
      <w:r>
        <w:rPr>
          <w:sz w:val="20"/>
        </w:rPr>
        <w:t xml:space="preserve">ВОЗДУШНОГО СУДНА, ДИСПЕТЧЕРОВ УПРАВЛЕНИЯ</w:t>
      </w:r>
    </w:p>
    <w:p>
      <w:pPr>
        <w:pStyle w:val="2"/>
        <w:jc w:val="center"/>
      </w:pPr>
      <w:r>
        <w:rPr>
          <w:sz w:val="20"/>
        </w:rPr>
        <w:t xml:space="preserve">ВОЗДУШНЫМ ДВИЖЕНИЕМ"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8" w:tooltip="&quot;Воздушный кодекс Российской Федерации&quot; от 19.03.1997 N 60-ФЗ (ред. от 31.07.2025) {КонсультантПлюс}">
        <w:r>
          <w:rPr>
            <w:sz w:val="20"/>
            <w:color w:val="0000ff"/>
          </w:rPr>
          <w:t xml:space="preserve">статьей 52</w:t>
        </w:r>
      </w:hyperlink>
      <w:r>
        <w:rPr>
          <w:sz w:val="20"/>
        </w:rPr>
        <w:t xml:space="preserve">, </w:t>
      </w:r>
      <w:hyperlink w:history="0" r:id="rId9" w:tooltip="&quot;Воздушный кодекс Российской Федерации&quot; от 19.03.1997 N 60-ФЗ (ред. от 31.07.2025) {КонсультантПлюс}">
        <w:r>
          <w:rPr>
            <w:sz w:val="20"/>
            <w:color w:val="0000ff"/>
          </w:rPr>
          <w:t xml:space="preserve">пунктом 1.3 статьи 53</w:t>
        </w:r>
      </w:hyperlink>
      <w:r>
        <w:rPr>
          <w:sz w:val="20"/>
        </w:rPr>
        <w:t xml:space="preserve">, </w:t>
      </w:r>
      <w:hyperlink w:history="0" r:id="rId10" w:tooltip="&quot;Воздушный кодекс Российской Федерации&quot; от 19.03.1997 N 60-ФЗ (ред. от 31.07.2025) {КонсультантПлюс}">
        <w:r>
          <w:rPr>
            <w:sz w:val="20"/>
            <w:color w:val="0000ff"/>
          </w:rPr>
          <w:t xml:space="preserve">статьей 53.1</w:t>
        </w:r>
      </w:hyperlink>
      <w:r>
        <w:rPr>
          <w:sz w:val="20"/>
        </w:rPr>
        <w:t xml:space="preserve">, </w:t>
      </w:r>
      <w:hyperlink w:history="0" r:id="rId11" w:tooltip="&quot;Воздушный кодекс Российской Федерации&quot; от 19.03.1997 N 60-ФЗ (ред. от 31.07.2025) {КонсультантПлюс}">
        <w:r>
          <w:rPr>
            <w:sz w:val="20"/>
            <w:color w:val="0000ff"/>
          </w:rPr>
          <w:t xml:space="preserve">пунктом 10 статьи 54</w:t>
        </w:r>
      </w:hyperlink>
      <w:r>
        <w:rPr>
          <w:sz w:val="20"/>
        </w:rPr>
        <w:t xml:space="preserve"> Воздушного кодекса Российской Федерации (Собрание законодательства Российской Федерации, 1997, N 12, ст. 1383; 2021, N 24, ст. 4226; N 27, ст. 5159), </w:t>
      </w:r>
      <w:hyperlink w:history="0" r:id="rId12" w:tooltip="Постановление Правительства РФ от 30.07.2004 N 395 (ред. от 19.08.2025) &quot;Об утверждении Положения о Министерстве транспорта Российской Федерации&quot; {КонсультантПлюс}">
        <w:r>
          <w:rPr>
            <w:sz w:val="20"/>
            <w:color w:val="0000ff"/>
          </w:rPr>
          <w:t xml:space="preserve">пунктом 1</w:t>
        </w:r>
      </w:hyperlink>
      <w:r>
        <w:rPr>
          <w:sz w:val="20"/>
        </w:rP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(Собрание законодательства Российской Федерации, 2004, N 32, ст. 3342; 2019, N 1, ст. 10), </w:t>
      </w:r>
      <w:hyperlink w:history="0" r:id="rId13" w:tooltip="Постановление Правительства РФ от 06.08.2013 N 670 (ред. от 09.02.2017) &quot;Об утверждении Правил проведения проверки соответствия лиц, претендующих на получение свидетельств, позволяющих выполнять функции членов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сотрудников по обеспечению полетов гражданской  ------------ Утратил силу или отменен {КонсультантПлюс}">
        <w:r>
          <w:rPr>
            <w:sz w:val="20"/>
            <w:color w:val="0000ff"/>
          </w:rPr>
          <w:t xml:space="preserve">пунктом 7</w:t>
        </w:r>
      </w:hyperlink>
      <w:r>
        <w:rPr>
          <w:sz w:val="20"/>
        </w:rPr>
        <w:t xml:space="preserve"> Правил проведения проверки соответствия лиц, претендующих на получение свидетельств, позволяющих выполнять функции членов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сотрудников по обеспечению полетов гражданской авиации, функции по техническому обслуживанию воздушных судов и диспетчерскому обслуживанию воздушного движения, требованиям федеральных авиационных правил, а также выдачи таких свидетельств лицам из числа специалистов авиационного персонала гражданской авиации, утвержденных постановлением Правительства Российской Федерации от 6 августа 2013 г. N 670 (Собрание законодательства Российской Федерации, 2013, N 32, ст. 4322), приказываю:</w:t>
      </w:r>
    </w:p>
    <w:p>
      <w:pPr>
        <w:pStyle w:val="0"/>
        <w:spacing w:before="200" w:line-rule="auto"/>
        <w:ind w:firstLine="540"/>
        <w:jc w:val="both"/>
      </w:pPr>
      <w:r>
        <w:rPr>
          <w:sz w:val="20"/>
        </w:rPr>
        <w:t xml:space="preserve">1. Утвердить Федеральные авиационные </w:t>
      </w:r>
      <w:hyperlink w:history="0" w:anchor="P53" w:tooltip="ФЕДЕРАЛЬНЫЕ АВИАЦИОННЫЕ ПРАВИЛА">
        <w:r>
          <w:rPr>
            <w:sz w:val="20"/>
            <w:color w:val="0000ff"/>
          </w:rPr>
          <w:t xml:space="preserve">правила</w:t>
        </w:r>
      </w:hyperlink>
      <w:r>
        <w:rPr>
          <w:sz w:val="20"/>
        </w:rPr>
        <w:t xml:space="preserve">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согласно приложению к настоящему приказу.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Приказы Минтранса России от 22.04.2002 N 50, от 28.04.2003 N 125, от 01.11.2004 N 27, от 19.09.2012 N 350, от 28.11.2014 N 325 ранее были признаны утратившими силу с </w:t>
            </w:r>
            <w:hyperlink w:history="0" r:id="rId14" w:tooltip="Постановление Правительства РФ от 26.10.2020 N 1742 (ред. от 26.02.2022) &quot;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 {КонсультантПлюс}">
              <w:r>
                <w:rPr>
                  <w:sz w:val="20"/>
                  <w:color w:val="0000ff"/>
                </w:rPr>
                <w:t xml:space="preserve">01.03.2022</w:t>
              </w:r>
            </w:hyperlink>
            <w:r>
              <w:rPr>
                <w:sz w:val="20"/>
                <w:color w:val="392c69"/>
              </w:rPr>
              <w:t xml:space="preserve"> в связи с изданием </w:t>
            </w:r>
            <w:hyperlink w:history="0" r:id="rId15" w:tooltip="Постановление Правительства РФ от 26.10.2020 N 1742 (ред. от 26.02.2022) &quot;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 {КонсультантПлюс}">
              <w:r>
                <w:rPr>
                  <w:sz w:val="20"/>
                  <w:color w:val="0000ff"/>
                </w:rPr>
                <w:t xml:space="preserve">Постановления</w:t>
              </w:r>
            </w:hyperlink>
            <w:r>
              <w:rPr>
                <w:sz w:val="20"/>
                <w:color w:val="392c69"/>
              </w:rPr>
              <w:t xml:space="preserve"> Правительства РФ от 26.10.2020 N 1742 (ред. от 11.06.2021).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Признать утратившими силу приказы Министерства транспорта Российской Федерации:</w:t>
      </w:r>
    </w:p>
    <w:p>
      <w:pPr>
        <w:pStyle w:val="0"/>
        <w:spacing w:before="200" w:line-rule="auto"/>
        <w:ind w:firstLine="540"/>
        <w:jc w:val="both"/>
      </w:pPr>
      <w:r>
        <w:rPr>
          <w:sz w:val="20"/>
        </w:rPr>
        <w:t xml:space="preserve">от 22 апреля 2002 г. </w:t>
      </w:r>
      <w:hyperlink w:history="0" r:id="rId16" w:tooltip="Приказ Минтранса России от 22.04.2002 N 50 (ред. от 26.06.2017, с изм. от 10.09.2019) &quot;Об утверждении Федеральных авиационных правил &quot;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quot; (вместе с &quot;Федеральными авиационными правилами ... (ФАП МО ГА-2002)&quot;) (Зарегистрировано в Минюсте России 07.05.2002 N 3417) ------------ Утратил силу или отменен {КонсультантПлюс}">
        <w:r>
          <w:rPr>
            <w:sz w:val="20"/>
            <w:color w:val="0000ff"/>
          </w:rPr>
          <w:t xml:space="preserve">N 50</w:t>
        </w:r>
      </w:hyperlink>
      <w:r>
        <w:rPr>
          <w:sz w:val="20"/>
        </w:rPr>
        <w:t xml:space="preserve"> "Об утверждении Федеральных авиационных правил "Медицинское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 (зарегистрирован Минюстом России 7 мая 2002 г., регистрационный N 3417);</w:t>
      </w:r>
    </w:p>
    <w:p>
      <w:pPr>
        <w:pStyle w:val="0"/>
        <w:spacing w:before="200" w:line-rule="auto"/>
        <w:ind w:firstLine="540"/>
        <w:jc w:val="both"/>
      </w:pPr>
      <w:r>
        <w:rPr>
          <w:sz w:val="20"/>
        </w:rPr>
        <w:t xml:space="preserve">от 28 апреля 2003 г. </w:t>
      </w:r>
      <w:hyperlink w:history="0" r:id="rId17" w:tooltip="Приказ Минтранса РФ от 28.04.2003 N 125 &quot;О внесении изменений и дополнений в Приказ Министерства транспорта Российской Федерации от 22 апреля 2002 г. N 50&quot; (Зарегистрировано в Минюсте РФ 08.07.2003 N 4879) ------------ Утратил силу или отменен {КонсультантПлюс}">
        <w:r>
          <w:rPr>
            <w:sz w:val="20"/>
            <w:color w:val="0000ff"/>
          </w:rPr>
          <w:t xml:space="preserve">N 125</w:t>
        </w:r>
      </w:hyperlink>
      <w:r>
        <w:rPr>
          <w:sz w:val="20"/>
        </w:rPr>
        <w:t xml:space="preserve"> "О внесении изменений и дополнений в приказ Министерства транспорта Российской Федерации от 22 апреля 2002 г. N 50" (зарегистрирован Минюстом России 8 июля 2003 г., регистрационный N 4879);</w:t>
      </w:r>
    </w:p>
    <w:p>
      <w:pPr>
        <w:pStyle w:val="0"/>
        <w:spacing w:before="200" w:line-rule="auto"/>
        <w:ind w:firstLine="540"/>
        <w:jc w:val="both"/>
      </w:pPr>
      <w:r>
        <w:rPr>
          <w:sz w:val="20"/>
        </w:rPr>
        <w:t xml:space="preserve">от 1 ноября 2004 г. </w:t>
      </w:r>
      <w:hyperlink w:history="0" r:id="rId18" w:tooltip="Приказ Минтранса РФ от 01.11.2004 N 27 &quot;О внесении изменений и дополнений в Приказ Министерства транспорта Российской Федерации от 22 апреля 2002 г. N 50&quot; (Зарегистрировано в Минюсте РФ 22.11.2004 N 6129) ------------ Утратил силу или отменен {КонсультантПлюс}">
        <w:r>
          <w:rPr>
            <w:sz w:val="20"/>
            <w:color w:val="0000ff"/>
          </w:rPr>
          <w:t xml:space="preserve">N 27</w:t>
        </w:r>
      </w:hyperlink>
      <w:r>
        <w:rPr>
          <w:sz w:val="20"/>
        </w:rPr>
        <w:t xml:space="preserve"> "О внесении изменений и дополнений в приказ Министерства транспорта Российской Федерации от 22 апреля 2002 г. N 50" (зарегистрирован Минюстом России 22 ноября 2004 г., регистрационный N 6129);</w:t>
      </w:r>
    </w:p>
    <w:p>
      <w:pPr>
        <w:pStyle w:val="0"/>
        <w:spacing w:before="200" w:line-rule="auto"/>
        <w:ind w:firstLine="540"/>
        <w:jc w:val="both"/>
      </w:pPr>
      <w:r>
        <w:rPr>
          <w:sz w:val="20"/>
        </w:rPr>
        <w:t xml:space="preserve">от 19 сентября 2012 г. </w:t>
      </w:r>
      <w:hyperlink w:history="0" r:id="rId19" w:tooltip="Приказ Минтранса России от 19.09.2012 N 350 &quot;О внесении изменений в Федеральные авиационные правила &quot;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quot;, утвержденные приказом Министерства транспорта Российской Федерации от 22 апреля 2002 г. N 50&quot; (Зарегистрировано в Минюсте России 13.02.2013 N 27043) ------------ Утратил силу или отменен {КонсультантПлюс}">
        <w:r>
          <w:rPr>
            <w:sz w:val="20"/>
            <w:color w:val="0000ff"/>
          </w:rPr>
          <w:t xml:space="preserve">N 350</w:t>
        </w:r>
      </w:hyperlink>
      <w:r>
        <w:rPr>
          <w:sz w:val="20"/>
        </w:rPr>
        <w:t xml:space="preserve"> "О внесении изменений в Федеральные авиационные правила "Медицинское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 утвержденные приказом Министерства транспорта Российской Федерации от 22 апреля 2002 г. N 50" (зарегистрирован Минюстом России 13 февраля 2013 г., регистрационный N 27043);</w:t>
      </w:r>
    </w:p>
    <w:p>
      <w:pPr>
        <w:pStyle w:val="0"/>
        <w:spacing w:before="200" w:line-rule="auto"/>
        <w:ind w:firstLine="540"/>
        <w:jc w:val="both"/>
      </w:pPr>
      <w:r>
        <w:rPr>
          <w:sz w:val="20"/>
        </w:rPr>
        <w:t xml:space="preserve">от 28 ноября 2014 г. </w:t>
      </w:r>
      <w:hyperlink w:history="0" r:id="rId20" w:tooltip="Приказ Минтранса России от 28.11.2014 N 325 &quot;О внесении изменений в приказ Министерства транспорта Российской Федерации от 22 апреля 2002 г. N 50&quot; (Зарегистрировано в Минюсте России 11.12.2014 N 35128) ------------ Утратил силу или отменен {КонсультантПлюс}">
        <w:r>
          <w:rPr>
            <w:sz w:val="20"/>
            <w:color w:val="0000ff"/>
          </w:rPr>
          <w:t xml:space="preserve">N 325</w:t>
        </w:r>
      </w:hyperlink>
      <w:r>
        <w:rPr>
          <w:sz w:val="20"/>
        </w:rPr>
        <w:t xml:space="preserve"> "О внесении изменений в приказ Министерства транспорта Российской Федерации от 22 апреля 2002 г. N 50" (зарегистрирован Минюстом России 11 декабря 2014 г., регистрационный N 35128);</w:t>
      </w:r>
    </w:p>
    <w:p>
      <w:pPr>
        <w:pStyle w:val="0"/>
        <w:spacing w:before="200" w:line-rule="auto"/>
        <w:ind w:firstLine="540"/>
        <w:jc w:val="both"/>
      </w:pPr>
      <w:r>
        <w:rPr>
          <w:sz w:val="20"/>
        </w:rPr>
        <w:t xml:space="preserve">от 26 июня 2017 г. </w:t>
      </w:r>
      <w:hyperlink w:history="0" r:id="rId21" w:tooltip="Приказ Минтранса России от 26.06.2017 N 241 &quot;Об утверждении Порядка образования и работы центральной врачебно-летной экспертной комиссии, врачебно-летных экспертных комиссий, медицинских экспертов и Требований к членам центральной врачебно-летной экспертной комиссии, врачебно-летных экспертных комиссий и медицинским экспертам&quot; (Зарегистрировано в Минюсте России 31.07.2017 N 47590) ------------ Утратил силу или отменен {КонсультантПлюс}">
        <w:r>
          <w:rPr>
            <w:sz w:val="20"/>
            <w:color w:val="0000ff"/>
          </w:rPr>
          <w:t xml:space="preserve">N 241</w:t>
        </w:r>
      </w:hyperlink>
      <w:r>
        <w:rPr>
          <w:sz w:val="20"/>
        </w:rPr>
        <w:t xml:space="preserve"> "Об утверждении Порядка образования и работы центральной врачебно-летной экспертной комиссии, врачебно-летных экспертных комиссий, медицинских экспертов и Требований к членам центральной врачебно-летной экспертной комиссии, врачебно-летных экспертных комиссий и медицинским экспертам" (зарегистрирован Минюстом России 31 июля 2017 г., регистрационный N 47590).</w:t>
      </w:r>
    </w:p>
    <w:p>
      <w:pPr>
        <w:pStyle w:val="0"/>
        <w:spacing w:before="200" w:line-rule="auto"/>
        <w:ind w:firstLine="540"/>
        <w:jc w:val="both"/>
      </w:pPr>
      <w:r>
        <w:rPr>
          <w:sz w:val="20"/>
        </w:rPr>
        <w:t xml:space="preserve">3. Настоящий приказ вступает в силу с 1 сентября 2022 г. и действует до 1 сентября 2028 г.</w:t>
      </w:r>
    </w:p>
    <w:p>
      <w:pPr>
        <w:pStyle w:val="0"/>
        <w:jc w:val="both"/>
      </w:pPr>
      <w:r>
        <w:rPr>
          <w:sz w:val="20"/>
        </w:rPr>
      </w:r>
    </w:p>
    <w:p>
      <w:pPr>
        <w:pStyle w:val="0"/>
        <w:jc w:val="right"/>
      </w:pPr>
      <w:r>
        <w:rPr>
          <w:sz w:val="20"/>
        </w:rPr>
        <w:t xml:space="preserve">Министр</w:t>
      </w:r>
    </w:p>
    <w:p>
      <w:pPr>
        <w:pStyle w:val="0"/>
        <w:jc w:val="right"/>
      </w:pPr>
      <w:r>
        <w:rPr>
          <w:sz w:val="20"/>
        </w:rPr>
        <w:t xml:space="preserve">В.Г.САВЕЛЬЕВ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Минтранса России</w:t>
      </w:r>
    </w:p>
    <w:p>
      <w:pPr>
        <w:pStyle w:val="0"/>
        <w:jc w:val="right"/>
      </w:pPr>
      <w:r>
        <w:rPr>
          <w:sz w:val="20"/>
        </w:rPr>
        <w:t xml:space="preserve">от 10 декабря 2021 г. N 437</w:t>
      </w:r>
    </w:p>
    <w:p>
      <w:pPr>
        <w:pStyle w:val="0"/>
        <w:jc w:val="right"/>
      </w:pPr>
      <w:r>
        <w:rPr>
          <w:sz w:val="20"/>
        </w:rPr>
      </w:r>
    </w:p>
    <w:bookmarkStart w:id="53" w:name="P53"/>
    <w:bookmarkEnd w:id="53"/>
    <w:p>
      <w:pPr>
        <w:pStyle w:val="2"/>
        <w:jc w:val="center"/>
      </w:pPr>
      <w:r>
        <w:rPr>
          <w:sz w:val="20"/>
        </w:rPr>
        <w:t xml:space="preserve">ФЕДЕРАЛЬНЫЕ АВИАЦИОННЫЕ ПРАВИЛА</w:t>
      </w:r>
    </w:p>
    <w:p>
      <w:pPr>
        <w:pStyle w:val="2"/>
        <w:jc w:val="center"/>
      </w:pPr>
      <w:r>
        <w:rPr>
          <w:sz w:val="20"/>
        </w:rPr>
        <w:t xml:space="preserve">"ПОРЯДОК ПРОВЕДЕНИЯ ОБЯЗАТЕЛЬНОГО МЕДИЦИНСКОГО</w:t>
      </w:r>
    </w:p>
    <w:p>
      <w:pPr>
        <w:pStyle w:val="2"/>
        <w:jc w:val="center"/>
      </w:pPr>
      <w:r>
        <w:rPr>
          <w:sz w:val="20"/>
        </w:rPr>
        <w:t xml:space="preserve">ОСВИДЕТЕЛЬСТВОВАНИЯ ЦЕНТРАЛЬНОЙ ВРАЧЕБНО-ЛЕТНОЙ ЭКСПЕРТНОЙ</w:t>
      </w:r>
    </w:p>
    <w:p>
      <w:pPr>
        <w:pStyle w:val="2"/>
        <w:jc w:val="center"/>
      </w:pPr>
      <w:r>
        <w:rPr>
          <w:sz w:val="20"/>
        </w:rPr>
        <w:t xml:space="preserve">КОМИССИЕЙ И ВРАЧЕБНО-ЛЕТНЫМИ ЭКСПЕРТНЫМИ КОМИССИЯМИ</w:t>
      </w:r>
    </w:p>
    <w:p>
      <w:pPr>
        <w:pStyle w:val="2"/>
        <w:jc w:val="center"/>
      </w:pPr>
      <w:r>
        <w:rPr>
          <w:sz w:val="20"/>
        </w:rPr>
        <w:t xml:space="preserve">ЧЛЕНОВ ЛЕТНОГО ЭКИПАЖА ГРАЖДАНСКОГО ВОЗДУШНОГО СУДНА,</w:t>
      </w:r>
    </w:p>
    <w:p>
      <w:pPr>
        <w:pStyle w:val="2"/>
        <w:jc w:val="center"/>
      </w:pPr>
      <w:r>
        <w:rPr>
          <w:sz w:val="20"/>
        </w:rPr>
        <w:t xml:space="preserve">ЗА ИСКЛЮЧЕНИЕМ СВЕРХЛЕГКОГО ПИЛОТИРУЕМОГО ГРАЖДАНСКОГО</w:t>
      </w:r>
    </w:p>
    <w:p>
      <w:pPr>
        <w:pStyle w:val="2"/>
        <w:jc w:val="center"/>
      </w:pPr>
      <w:r>
        <w:rPr>
          <w:sz w:val="20"/>
        </w:rPr>
        <w:t xml:space="preserve">ВОЗДУШНОГО СУДНА С МАССОЙ КОНСТРУКЦИИ 115 КИЛОГРАММОВ</w:t>
      </w:r>
    </w:p>
    <w:p>
      <w:pPr>
        <w:pStyle w:val="2"/>
        <w:jc w:val="center"/>
      </w:pPr>
      <w:r>
        <w:rPr>
          <w:sz w:val="20"/>
        </w:rPr>
        <w:t xml:space="preserve">И МЕНЕЕ, БЕСПИЛОТНОГО ГРАЖДАНСКОГО ВОЗДУШНОГО СУДНА</w:t>
      </w:r>
    </w:p>
    <w:p>
      <w:pPr>
        <w:pStyle w:val="2"/>
        <w:jc w:val="center"/>
      </w:pPr>
      <w:r>
        <w:rPr>
          <w:sz w:val="20"/>
        </w:rPr>
        <w:t xml:space="preserve">С МАКСИМАЛЬНОЙ ВЗЛЕТНОЙ МАССОЙ 30 КИЛОГРАММОВ И МЕНЕЕ,</w:t>
      </w:r>
    </w:p>
    <w:p>
      <w:pPr>
        <w:pStyle w:val="2"/>
        <w:jc w:val="center"/>
      </w:pPr>
      <w:r>
        <w:rPr>
          <w:sz w:val="20"/>
        </w:rPr>
        <w:t xml:space="preserve">ДИСПЕТЧЕРОВ УПРАВЛЕНИЯ ВОЗДУШНЫМ ДВИЖЕНИЕМ И ЛИЦ,</w:t>
      </w:r>
    </w:p>
    <w:p>
      <w:pPr>
        <w:pStyle w:val="2"/>
        <w:jc w:val="center"/>
      </w:pPr>
      <w:r>
        <w:rPr>
          <w:sz w:val="20"/>
        </w:rPr>
        <w:t xml:space="preserve">ПОСТУПАЮЩИХ В ОБРАЗОВАТЕЛЬНЫЕ ОРГАНИЗАЦИИ, КОТОРЫЕ</w:t>
      </w:r>
    </w:p>
    <w:p>
      <w:pPr>
        <w:pStyle w:val="2"/>
        <w:jc w:val="center"/>
      </w:pPr>
      <w:r>
        <w:rPr>
          <w:sz w:val="20"/>
        </w:rPr>
        <w:t xml:space="preserve">ОСУЩЕСТВЛЯЮТ ОБУЧЕНИЕ СПЕЦИАЛИСТОВ СОГЛАСНО ПЕРЕЧНЮ</w:t>
      </w:r>
    </w:p>
    <w:p>
      <w:pPr>
        <w:pStyle w:val="2"/>
        <w:jc w:val="center"/>
      </w:pPr>
      <w:r>
        <w:rPr>
          <w:sz w:val="20"/>
        </w:rPr>
        <w:t xml:space="preserve">СПЕЦИАЛИСТОВ АВИАЦИОННОГО ПЕРСОНАЛА ГРАЖДАНСКОЙ АВИАЦИИ,</w:t>
      </w:r>
    </w:p>
    <w:p>
      <w:pPr>
        <w:pStyle w:val="2"/>
        <w:jc w:val="center"/>
      </w:pPr>
      <w:r>
        <w:rPr>
          <w:sz w:val="20"/>
        </w:rPr>
        <w:t xml:space="preserve">И ПРЕТЕНДУЮЩИХ НА ПОЛУЧЕНИЕ СВИДЕТЕЛЬСТВ, ПОЗВОЛЯЮЩИХ</w:t>
      </w:r>
    </w:p>
    <w:p>
      <w:pPr>
        <w:pStyle w:val="2"/>
        <w:jc w:val="center"/>
      </w:pPr>
      <w:r>
        <w:rPr>
          <w:sz w:val="20"/>
        </w:rPr>
        <w:t xml:space="preserve">ВЫПОЛНЯТЬ ФУНКЦИИ ЧЛЕНОВ ЛЕТНОГО ЭКИПАЖА ГРАЖДАНСКОГО</w:t>
      </w:r>
    </w:p>
    <w:p>
      <w:pPr>
        <w:pStyle w:val="2"/>
        <w:jc w:val="center"/>
      </w:pPr>
      <w:r>
        <w:rPr>
          <w:sz w:val="20"/>
        </w:rPr>
        <w:t xml:space="preserve">ВОЗДУШНОГО СУДНА, ДИСПЕТЧЕРОВ УПРАВЛЕНИЯ</w:t>
      </w:r>
    </w:p>
    <w:p>
      <w:pPr>
        <w:pStyle w:val="2"/>
        <w:jc w:val="center"/>
      </w:pPr>
      <w:r>
        <w:rPr>
          <w:sz w:val="20"/>
        </w:rPr>
        <w:t xml:space="preserve">ВОЗДУШНЫМ ДВИЖЕНИЕМ"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Федеральные авиационные правила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(далее - Порядок) устанавливают порядок проведения обязательного медицинского освидетельствования, включающий требования к состоянию здоровья членов летного экипажа гражданского воздушного судна, диспетчеров управления воздушным движением (далее - диспетчеры УВД), внешних пилотов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(далее - кандидаты на получение медицинского заключения), перечень проводимых исследований, периодичность проведения обязательного медицинского освидетельствования, порядок создания и работы центральной врачебно-летной экспертной комиссии (далее - ЦВЛЭК ГА) и врачебно-летных экспертных комиссий (далее - ВЛЭК ГА), требования к квалификации их членов, а также форму медицинского заключения о годности членов летного экипажа гражданского воздушного судна, диспетчеров УВД к выполнению работ по таким должностям.</w:t>
      </w:r>
    </w:p>
    <w:p>
      <w:pPr>
        <w:pStyle w:val="0"/>
        <w:jc w:val="both"/>
      </w:pPr>
      <w:r>
        <w:rPr>
          <w:sz w:val="20"/>
        </w:rPr>
        <w:t xml:space="preserve">(в ред. </w:t>
      </w:r>
      <w:hyperlink w:history="0" r:id="rId2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 Члены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и диспетчеры УВД должны иметь медицинское заключение о годности к выполнению работ по соответствующим должностям, выданное ЦВЛЭК ГА, созданной в медицинской организации, находящейся в ведении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гражданской авиации (далее - уполномоченный орган) &lt;1&gt;, ВЛЭК ГА, созданными в медицинских организациях, имеющих лицензию &lt;2&gt; на осуществление медицинской деятельности, предусматривающую в том числе выполнение работ (оказание услуг) по врачебно-летной экспертизе.</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4" w:tooltip="Постановление Правительства РФ от 30.07.2004 N 396 (ред. от 31.07.2025) &quot;Об утверждении Положения о Федеральном агентстве воздушного транспорта&quot; {КонсультантПлюс}">
        <w:r>
          <w:rPr>
            <w:sz w:val="20"/>
            <w:color w:val="0000ff"/>
          </w:rPr>
          <w:t xml:space="preserve">Пункт 1</w:t>
        </w:r>
      </w:hyperlink>
      <w:r>
        <w:rPr>
          <w:sz w:val="20"/>
        </w:rP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w:t>
      </w:r>
    </w:p>
    <w:p>
      <w:pPr>
        <w:pStyle w:val="0"/>
        <w:jc w:val="both"/>
      </w:pPr>
      <w:r>
        <w:rPr>
          <w:sz w:val="20"/>
        </w:rPr>
        <w:t xml:space="preserve">(в ред. </w:t>
      </w:r>
      <w:hyperlink w:history="0" r:id="rId2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&lt;2&gt; </w:t>
      </w:r>
      <w:hyperlink w:history="0" r:id="rId26" w:tooltip="&quot;Воздушный кодекс Российской Федерации&quot; от 19.03.1997 N 60-ФЗ (ред. от 31.07.2025) {КонсультантПлюс}">
        <w:r>
          <w:rPr>
            <w:sz w:val="20"/>
            <w:color w:val="0000ff"/>
          </w:rPr>
          <w:t xml:space="preserve">Пункт 1.3 статьи 53</w:t>
        </w:r>
      </w:hyperlink>
      <w:r>
        <w:rPr>
          <w:sz w:val="20"/>
        </w:rPr>
        <w:t xml:space="preserve"> Воздушного кодекса Российской Федерации.</w:t>
      </w:r>
    </w:p>
    <w:p>
      <w:pPr>
        <w:pStyle w:val="0"/>
        <w:jc w:val="both"/>
      </w:pPr>
      <w:r>
        <w:rPr>
          <w:sz w:val="20"/>
        </w:rPr>
        <w:t xml:space="preserve">(в ред. </w:t>
      </w:r>
      <w:hyperlink w:history="0" r:id="rId2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ind w:firstLine="540"/>
        <w:jc w:val="both"/>
      </w:pPr>
      <w:r>
        <w:rPr>
          <w:sz w:val="20"/>
        </w:rPr>
      </w:r>
    </w:p>
    <w:p>
      <w:pPr>
        <w:pStyle w:val="0"/>
        <w:ind w:firstLine="540"/>
        <w:jc w:val="both"/>
      </w:pPr>
      <w:r>
        <w:rPr>
          <w:sz w:val="20"/>
        </w:rPr>
        <w:t xml:space="preserve">3. Обязательное медицинское освидетельствование членов летного экипажа гражданского воздушного судна, диспетчеров УВД,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УВД (далее - абитуриенты) проводится ВЛЭК ГА и ЦВЛЭК ГА в соответствии с настоящим Порядком.</w:t>
      </w:r>
    </w:p>
    <w:p>
      <w:pPr>
        <w:pStyle w:val="0"/>
        <w:spacing w:before="200" w:line-rule="auto"/>
        <w:ind w:firstLine="540"/>
        <w:jc w:val="both"/>
      </w:pPr>
      <w:r>
        <w:rPr>
          <w:sz w:val="20"/>
        </w:rPr>
        <w:t xml:space="preserve">4. ЦВЛЭК ГА проводит обязательное медицинское освидетельствование в случаях обжалования и (или) аннулирования результатов обязательного медицинского освидетельствования, проведенного врачебно-летными экспертными комиссиями.</w:t>
      </w:r>
    </w:p>
    <w:p>
      <w:pPr>
        <w:pStyle w:val="0"/>
        <w:spacing w:before="200" w:line-rule="auto"/>
        <w:ind w:firstLine="540"/>
        <w:jc w:val="both"/>
      </w:pPr>
      <w:r>
        <w:rPr>
          <w:sz w:val="20"/>
        </w:rPr>
        <w:t xml:space="preserve">5. Лицам, признанным годными по состоянию здоровья к выполнению функций членов летного экипажа гражданского воздушного судна, диспетчеров УВД, либо лицам, претендующим на получение соответствующих свидетельств, выдаются медицинские заключения 1, 2 или 3 классов по форме, приведенной в </w:t>
      </w:r>
      <w:hyperlink w:history="0" w:anchor="P278" w:tooltip="                   МЕДИЦИНСКОЕ ЗАКЛЮЧЕНИЕ _______ класса">
        <w:r>
          <w:rPr>
            <w:sz w:val="20"/>
            <w:color w:val="0000ff"/>
          </w:rPr>
          <w:t xml:space="preserve">приложении N 1</w:t>
        </w:r>
      </w:hyperlink>
      <w:r>
        <w:rPr>
          <w:sz w:val="20"/>
        </w:rPr>
        <w:t xml:space="preserve"> к настоящему Порядку.</w:t>
      </w:r>
    </w:p>
    <w:p>
      <w:pPr>
        <w:pStyle w:val="0"/>
        <w:spacing w:before="200" w:line-rule="auto"/>
        <w:ind w:firstLine="540"/>
        <w:jc w:val="both"/>
      </w:pPr>
      <w:r>
        <w:rPr>
          <w:sz w:val="20"/>
        </w:rPr>
        <w:t xml:space="preserve">Бланки медицинских заключений выдаются уполномоченным органом на основании заявления руководителя медицинской организации, в которой создана ЦВЛЭК ГА (ВЛЭК ГА).</w:t>
      </w:r>
    </w:p>
    <w:p>
      <w:pPr>
        <w:pStyle w:val="0"/>
        <w:jc w:val="both"/>
      </w:pPr>
      <w:r>
        <w:rPr>
          <w:sz w:val="20"/>
        </w:rPr>
        <w:t xml:space="preserve">(абзац введен </w:t>
      </w:r>
      <w:hyperlink w:history="0" r:id="rId2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6. Классы медицинских заключений:</w:t>
      </w:r>
    </w:p>
    <w:p>
      <w:pPr>
        <w:pStyle w:val="0"/>
        <w:spacing w:before="200" w:line-rule="auto"/>
        <w:ind w:firstLine="540"/>
        <w:jc w:val="both"/>
      </w:pPr>
      <w:r>
        <w:rPr>
          <w:sz w:val="20"/>
        </w:rPr>
        <w:t xml:space="preserve">1) медицинское заключение 1 класса выдается кандидатам на получение свидетельств и обладателям свидетельств:</w:t>
      </w:r>
    </w:p>
    <w:p>
      <w:pPr>
        <w:pStyle w:val="0"/>
        <w:spacing w:before="200" w:line-rule="auto"/>
        <w:ind w:firstLine="540"/>
        <w:jc w:val="both"/>
      </w:pPr>
      <w:r>
        <w:rPr>
          <w:sz w:val="20"/>
        </w:rPr>
        <w:t xml:space="preserve">коммерческого пилота (самолет, дирижабль, вертолет);</w:t>
      </w:r>
    </w:p>
    <w:p>
      <w:pPr>
        <w:pStyle w:val="0"/>
        <w:spacing w:before="200" w:line-rule="auto"/>
        <w:ind w:firstLine="540"/>
        <w:jc w:val="both"/>
      </w:pPr>
      <w:r>
        <w:rPr>
          <w:sz w:val="20"/>
        </w:rPr>
        <w:t xml:space="preserve">линейного пилота (самолет, вертолет);</w:t>
      </w:r>
    </w:p>
    <w:p>
      <w:pPr>
        <w:pStyle w:val="0"/>
        <w:spacing w:before="200" w:line-rule="auto"/>
        <w:ind w:firstLine="540"/>
        <w:jc w:val="both"/>
      </w:pPr>
      <w:r>
        <w:rPr>
          <w:sz w:val="20"/>
        </w:rPr>
        <w:t xml:space="preserve">пилота многочленного экипажа (самолет);</w:t>
      </w:r>
    </w:p>
    <w:p>
      <w:pPr>
        <w:pStyle w:val="0"/>
        <w:spacing w:before="200" w:line-rule="auto"/>
        <w:ind w:firstLine="540"/>
        <w:jc w:val="both"/>
      </w:pPr>
      <w:r>
        <w:rPr>
          <w:sz w:val="20"/>
        </w:rPr>
        <w:t xml:space="preserve">2) медицинское заключение 2 класса выдается кандидатам на получение свидетельств и обладателям свидетельств:</w:t>
      </w:r>
    </w:p>
    <w:p>
      <w:pPr>
        <w:pStyle w:val="0"/>
        <w:spacing w:before="200" w:line-rule="auto"/>
        <w:ind w:firstLine="540"/>
        <w:jc w:val="both"/>
      </w:pPr>
      <w:r>
        <w:rPr>
          <w:sz w:val="20"/>
        </w:rPr>
        <w:t xml:space="preserve">штурмана;</w:t>
      </w:r>
    </w:p>
    <w:p>
      <w:pPr>
        <w:pStyle w:val="0"/>
        <w:spacing w:before="200" w:line-rule="auto"/>
        <w:ind w:firstLine="540"/>
        <w:jc w:val="both"/>
      </w:pPr>
      <w:r>
        <w:rPr>
          <w:sz w:val="20"/>
        </w:rPr>
        <w:t xml:space="preserve">бортинженера (бортмеханика);</w:t>
      </w:r>
    </w:p>
    <w:p>
      <w:pPr>
        <w:pStyle w:val="0"/>
        <w:spacing w:before="200" w:line-rule="auto"/>
        <w:ind w:firstLine="540"/>
        <w:jc w:val="both"/>
      </w:pPr>
      <w:r>
        <w:rPr>
          <w:sz w:val="20"/>
        </w:rPr>
        <w:t xml:space="preserve">летчика-наблюдателя;</w:t>
      </w:r>
    </w:p>
    <w:p>
      <w:pPr>
        <w:pStyle w:val="0"/>
        <w:spacing w:before="200" w:line-rule="auto"/>
        <w:ind w:firstLine="540"/>
        <w:jc w:val="both"/>
      </w:pPr>
      <w:r>
        <w:rPr>
          <w:sz w:val="20"/>
        </w:rPr>
        <w:t xml:space="preserve">бортрадиста;</w:t>
      </w:r>
    </w:p>
    <w:p>
      <w:pPr>
        <w:pStyle w:val="0"/>
        <w:spacing w:before="200" w:line-rule="auto"/>
        <w:ind w:firstLine="540"/>
        <w:jc w:val="both"/>
      </w:pPr>
      <w:r>
        <w:rPr>
          <w:sz w:val="20"/>
        </w:rPr>
        <w:t xml:space="preserve">частного пилота (самолет, вертолет);</w:t>
      </w:r>
    </w:p>
    <w:p>
      <w:pPr>
        <w:pStyle w:val="0"/>
        <w:spacing w:before="200" w:line-rule="auto"/>
        <w:ind w:firstLine="540"/>
        <w:jc w:val="both"/>
      </w:pPr>
      <w:r>
        <w:rPr>
          <w:sz w:val="20"/>
        </w:rPr>
        <w:t xml:space="preserve">пилота планера;</w:t>
      </w:r>
    </w:p>
    <w:p>
      <w:pPr>
        <w:pStyle w:val="0"/>
        <w:spacing w:before="200" w:line-rule="auto"/>
        <w:ind w:firstLine="540"/>
        <w:jc w:val="both"/>
      </w:pPr>
      <w:r>
        <w:rPr>
          <w:sz w:val="20"/>
        </w:rPr>
        <w:t xml:space="preserve">пилота свободного аэростата;</w:t>
      </w:r>
    </w:p>
    <w:p>
      <w:pPr>
        <w:pStyle w:val="0"/>
        <w:spacing w:before="200" w:line-rule="auto"/>
        <w:ind w:firstLine="540"/>
        <w:jc w:val="both"/>
      </w:pPr>
      <w:r>
        <w:rPr>
          <w:sz w:val="20"/>
        </w:rPr>
        <w:t xml:space="preserve">пилота сверхлегкого воздушного судна;</w:t>
      </w:r>
    </w:p>
    <w:p>
      <w:pPr>
        <w:pStyle w:val="0"/>
        <w:spacing w:before="200" w:line-rule="auto"/>
        <w:ind w:firstLine="540"/>
        <w:jc w:val="both"/>
      </w:pPr>
      <w:r>
        <w:rPr>
          <w:sz w:val="20"/>
        </w:rPr>
        <w:t xml:space="preserve">3) медицинское заключение 3 класса выдается кандидатам на получение свидетельств и обладателям свидетельств:</w:t>
      </w:r>
    </w:p>
    <w:p>
      <w:pPr>
        <w:pStyle w:val="0"/>
        <w:spacing w:before="200" w:line-rule="auto"/>
        <w:ind w:firstLine="540"/>
        <w:jc w:val="both"/>
      </w:pPr>
      <w:r>
        <w:rPr>
          <w:sz w:val="20"/>
        </w:rPr>
        <w:t xml:space="preserve">внешнего пилота;</w:t>
      </w:r>
    </w:p>
    <w:p>
      <w:pPr>
        <w:pStyle w:val="0"/>
        <w:spacing w:before="200" w:line-rule="auto"/>
        <w:ind w:firstLine="540"/>
        <w:jc w:val="both"/>
      </w:pPr>
      <w:r>
        <w:rPr>
          <w:sz w:val="20"/>
        </w:rPr>
        <w:t xml:space="preserve">диспетчера УВД (в воздухе).</w:t>
      </w:r>
    </w:p>
    <w:p>
      <w:pPr>
        <w:pStyle w:val="0"/>
        <w:spacing w:before="200" w:line-rule="auto"/>
        <w:ind w:firstLine="540"/>
        <w:jc w:val="both"/>
      </w:pPr>
      <w:r>
        <w:rPr>
          <w:sz w:val="20"/>
        </w:rPr>
        <w:t xml:space="preserve">7. Наличие медицинского заключения 1 класса без ограничений предоставляет его обладателю возможность выполнять функции, установленные для обладателей соответствующих свидетельств, для которых необходимо наличие медицинского заключения 2 или 3 класса.</w:t>
      </w:r>
    </w:p>
    <w:p>
      <w:pPr>
        <w:pStyle w:val="0"/>
        <w:spacing w:before="200" w:line-rule="auto"/>
        <w:ind w:firstLine="540"/>
        <w:jc w:val="both"/>
      </w:pPr>
      <w:r>
        <w:rPr>
          <w:sz w:val="20"/>
        </w:rPr>
        <w:t xml:space="preserve">Наличие медицинского заключения 2 класса без ограничений предоставляет его обладателю возможность выполнять функции внешнего пилота.</w:t>
      </w:r>
    </w:p>
    <w:p>
      <w:pPr>
        <w:pStyle w:val="0"/>
        <w:jc w:val="both"/>
      </w:pPr>
      <w:r>
        <w:rPr>
          <w:sz w:val="20"/>
        </w:rPr>
        <w:t xml:space="preserve">(абзац введен </w:t>
      </w:r>
      <w:hyperlink w:history="0" r:id="rId2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8. Сроки действия медицинского заключения:</w:t>
      </w:r>
    </w:p>
    <w:p>
      <w:pPr>
        <w:pStyle w:val="0"/>
        <w:spacing w:before="200" w:line-rule="auto"/>
        <w:ind w:firstLine="540"/>
        <w:jc w:val="both"/>
      </w:pPr>
      <w:r>
        <w:rPr>
          <w:sz w:val="20"/>
        </w:rPr>
        <w:t xml:space="preserve">8.1. Медицинское заключение 1 класса действительно в течение срока, не превышающего 12 месяцев.</w:t>
      </w:r>
    </w:p>
    <w:p>
      <w:pPr>
        <w:pStyle w:val="0"/>
        <w:spacing w:before="200" w:line-rule="auto"/>
        <w:ind w:firstLine="540"/>
        <w:jc w:val="both"/>
      </w:pPr>
      <w:r>
        <w:rPr>
          <w:sz w:val="20"/>
        </w:rPr>
        <w:t xml:space="preserve">Если обладателями свидетельства линейного пилота (самолет, вертолет) и свидетельства коммерческого пилота (самолет, дирижабль, вертолет), выполняющими коммерческие воздушные перевозки пассажиров на самолетах (вертолетах), управляемых одним пилотом, являются лица старше 40 лет, срок действия медицинского заключения сокращается до 6 месяцев.</w:t>
      </w:r>
    </w:p>
    <w:p>
      <w:pPr>
        <w:pStyle w:val="0"/>
        <w:spacing w:before="200" w:line-rule="auto"/>
        <w:ind w:firstLine="540"/>
        <w:jc w:val="both"/>
      </w:pPr>
      <w:r>
        <w:rPr>
          <w:sz w:val="20"/>
        </w:rPr>
        <w:t xml:space="preserve">Когда обладателю свидетельства линейного пилота (самолет, вертолет), свидетельства коммерческого пилота (самолет, дирижабль, вертолет) и свидетельства пилота многочленного экипажа (самолет) исполняется 60 лет, срок действия медицинского заключения сокращается до 6 месяцев.</w:t>
      </w:r>
    </w:p>
    <w:p>
      <w:pPr>
        <w:pStyle w:val="0"/>
        <w:spacing w:before="200" w:line-rule="auto"/>
        <w:ind w:firstLine="540"/>
        <w:jc w:val="both"/>
      </w:pPr>
      <w:r>
        <w:rPr>
          <w:sz w:val="20"/>
        </w:rPr>
        <w:t xml:space="preserve">8.2. Медицинское заключение 2 класса действительно в течение срока, не превышающего 60 месяцев.</w:t>
      </w:r>
    </w:p>
    <w:p>
      <w:pPr>
        <w:pStyle w:val="0"/>
        <w:spacing w:before="200" w:line-rule="auto"/>
        <w:ind w:firstLine="540"/>
        <w:jc w:val="both"/>
      </w:pPr>
      <w:r>
        <w:rPr>
          <w:sz w:val="20"/>
        </w:rPr>
        <w:t xml:space="preserve">Для обладателей свидетельств штурмана, бортинженера (бортмеханика), бортрадиста срок действия медицинского заключения не превышает 12 месяцев.</w:t>
      </w:r>
    </w:p>
    <w:p>
      <w:pPr>
        <w:pStyle w:val="0"/>
        <w:spacing w:before="200" w:line-rule="auto"/>
        <w:ind w:firstLine="540"/>
        <w:jc w:val="both"/>
      </w:pPr>
      <w:r>
        <w:rPr>
          <w:sz w:val="20"/>
        </w:rPr>
        <w:t xml:space="preserve">Для обладателей свидетельства частного пилота (самолет, дирижабль, вертолет), свидетельства пилота свободного аэростата, свидетельства пилота планера, пилота сверхлегкого воздушного судна, летчика-наблюдателя старше 40 лет срок действия медицинского заключения сокращается до 24 месяцев.</w:t>
      </w:r>
    </w:p>
    <w:p>
      <w:pPr>
        <w:pStyle w:val="0"/>
        <w:spacing w:before="200" w:line-rule="auto"/>
        <w:ind w:firstLine="540"/>
        <w:jc w:val="both"/>
      </w:pPr>
      <w:r>
        <w:rPr>
          <w:sz w:val="20"/>
        </w:rPr>
        <w:t xml:space="preserve">8.3. Медицинское заключение 3 класса действительно в течение срока, не превышающего 48 месяцев, для обучающихся высших и средних образовательных организаций гражданской авиации по подготовке диспетчеров УВД - 12 месяцев.</w:t>
      </w:r>
    </w:p>
    <w:p>
      <w:pPr>
        <w:pStyle w:val="0"/>
        <w:spacing w:before="200" w:line-rule="auto"/>
        <w:ind w:firstLine="540"/>
        <w:jc w:val="both"/>
      </w:pPr>
      <w:r>
        <w:rPr>
          <w:sz w:val="20"/>
        </w:rPr>
        <w:t xml:space="preserve">Для обладателей свидетельств диспетчера УВД старше 40 лет срок действия медицинского заключения сокращается до 24 месяцев, старше 50 лет - до 12 месяцев.</w:t>
      </w:r>
    </w:p>
    <w:p>
      <w:pPr>
        <w:pStyle w:val="0"/>
        <w:spacing w:before="200" w:line-rule="auto"/>
        <w:ind w:firstLine="540"/>
        <w:jc w:val="both"/>
      </w:pPr>
      <w:r>
        <w:rPr>
          <w:sz w:val="20"/>
        </w:rPr>
        <w:t xml:space="preserve">8.4. Сроки действия, указанные выше, устанавливаются с учетом возраста кандидата на получение медицинского заключения на момент прохождения им медицинского освидетельствования.</w:t>
      </w:r>
    </w:p>
    <w:p>
      <w:pPr>
        <w:pStyle w:val="0"/>
        <w:spacing w:before="200" w:line-rule="auto"/>
        <w:ind w:firstLine="540"/>
        <w:jc w:val="both"/>
      </w:pPr>
      <w:r>
        <w:rPr>
          <w:sz w:val="20"/>
        </w:rPr>
        <w:t xml:space="preserve">8.5. Срок действия выданного медицинского заключения начинается со дня его выдачи ВЛЭК ГА (ЦВЛЭК ГА) и включает день окончания срока его действия.</w:t>
      </w:r>
    </w:p>
    <w:p>
      <w:pPr>
        <w:pStyle w:val="0"/>
        <w:spacing w:before="200" w:line-rule="auto"/>
        <w:ind w:firstLine="540"/>
        <w:jc w:val="both"/>
      </w:pPr>
      <w:r>
        <w:rPr>
          <w:sz w:val="20"/>
        </w:rPr>
        <w:t xml:space="preserve">8.6. Обладатели свидетельств авиационного персонала, не имеющие медицинского заключения, или имеющие медицинские заключения, срок действия которых истек, к выполнению функций, предусмотренных соответствующими свидетельствами и квалификационными отметками, за исключением случаев, установленных </w:t>
      </w:r>
      <w:hyperlink w:history="0" w:anchor="P121" w:tooltip="9. В период действия режима повышенной готовности и чрезвычайной ситуации по представлению руководителя эксплуатанта, оперативного органа единой системы организации воздушного движения срок действия медицинского заключения может быть продлен руководителем межрегионального территориального управления воздушного транспорта уполномоченного органа в области гражданской авиации по согласованию с медицинским экспертом - председателем выдавшей медицинское заключение ВЛЭК ГА (ЦВЛЭК ГА) не более чем на 45 дней &lt;3&gt;.">
        <w:r>
          <w:rPr>
            <w:sz w:val="20"/>
            <w:color w:val="0000ff"/>
          </w:rPr>
          <w:t xml:space="preserve">пунктом 9</w:t>
        </w:r>
      </w:hyperlink>
      <w:r>
        <w:rPr>
          <w:sz w:val="20"/>
        </w:rPr>
        <w:t xml:space="preserve"> настоящего Порядка, не допускаются.</w:t>
      </w:r>
    </w:p>
    <w:bookmarkStart w:id="121" w:name="P121"/>
    <w:bookmarkEnd w:id="121"/>
    <w:p>
      <w:pPr>
        <w:pStyle w:val="0"/>
        <w:spacing w:before="200" w:line-rule="auto"/>
        <w:ind w:firstLine="540"/>
        <w:jc w:val="both"/>
      </w:pPr>
      <w:r>
        <w:rPr>
          <w:sz w:val="20"/>
        </w:rPr>
        <w:t xml:space="preserve">9. В период действия режима повышенной готовности и чрезвычайной ситуации по представлению руководителя эксплуатанта, оперативного органа единой системы организации воздушного движения срок действия медицинского заключения может быть продлен руководителем межрегионального территориального управления воздушного транспорта уполномоченного органа в области гражданской авиации по согласованию с медицинским экспертом - председателем выдавшей медицинское заключение ВЛЭК ГА (ЦВЛЭК ГА) не более чем на 45 дней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Глава 1 приложения 1 "Выдача свидетельств авиационному персоналу" к </w:t>
      </w:r>
      <w:hyperlink w:history="0" r:id="rId30"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Конвенции</w:t>
        </w:r>
      </w:hyperlink>
      <w:r>
        <w:rPr>
          <w:sz w:val="20"/>
        </w:rPr>
        <w:t xml:space="preserve"> международной гражданской авиации (заключена в г. Чикаго 7 декабря 1944 г.) (Международные воздушные сообщения СССР: Сборник документов. Москва, 1970; официальный сайт Международной организации гражданской авиации (ИКАО) в информационно-телекоммуникационной сети "Интернет" - www.icao.int. Вступила в силу для СССР 14 ноября 1970 г. в соответствии с постановлением Совета Министров СССР от 1 октября 1970 г. N 836-284).</w:t>
      </w:r>
    </w:p>
    <w:p>
      <w:pPr>
        <w:pStyle w:val="0"/>
        <w:ind w:firstLine="540"/>
        <w:jc w:val="both"/>
      </w:pPr>
      <w:r>
        <w:rPr>
          <w:sz w:val="20"/>
        </w:rPr>
      </w:r>
    </w:p>
    <w:p>
      <w:pPr>
        <w:pStyle w:val="0"/>
        <w:ind w:firstLine="540"/>
        <w:jc w:val="both"/>
      </w:pPr>
      <w:r>
        <w:rPr>
          <w:sz w:val="20"/>
        </w:rPr>
        <w:t xml:space="preserve">10. Состояние здоровья кандидатов на получение (возобновление) медицинских заключений 1, 2 и 3 классов должно соответствовать требованиям, установленным настоящим Порядком.</w:t>
      </w:r>
    </w:p>
    <w:p>
      <w:pPr>
        <w:pStyle w:val="0"/>
        <w:spacing w:before="200" w:line-rule="auto"/>
        <w:ind w:firstLine="540"/>
        <w:jc w:val="both"/>
      </w:pPr>
      <w:r>
        <w:rPr>
          <w:sz w:val="20"/>
        </w:rPr>
        <w:t xml:space="preserve">Инструктивный материал содержится в Руководстве по авиационной медицине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Глава 6 приложения 1 "Выдача свидетельств авиационному персоналу" к </w:t>
      </w:r>
      <w:hyperlink w:history="0" r:id="rId31"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Конвенции</w:t>
        </w:r>
      </w:hyperlink>
      <w:r>
        <w:rPr>
          <w:sz w:val="20"/>
        </w:rPr>
        <w:t xml:space="preserve"> международной гражданской авиации (заключена в г. Чикаго 7 декабря 1944 г.) (Международные воздушные сообщения СССР: Сборник документов. Москва, 1970; официальный сайт Международной организации гражданской авиации (ИКАО) в информационно-телекоммуникационной сети "Интернет" - www.icao.int. Вступила в силу для СССР 14 ноября 1970 г. в соответствии с постановлением Совета Министров СССР от 1 октября 1970 г. N 836-284).</w:t>
      </w:r>
    </w:p>
    <w:p>
      <w:pPr>
        <w:pStyle w:val="0"/>
        <w:ind w:firstLine="540"/>
        <w:jc w:val="both"/>
      </w:pPr>
      <w:r>
        <w:rPr>
          <w:sz w:val="20"/>
        </w:rPr>
      </w:r>
    </w:p>
    <w:p>
      <w:pPr>
        <w:pStyle w:val="0"/>
        <w:ind w:firstLine="540"/>
        <w:jc w:val="both"/>
      </w:pPr>
      <w:r>
        <w:rPr>
          <w:sz w:val="20"/>
        </w:rPr>
        <w:t xml:space="preserve">11. Обладатели свидетельств перестают выполнять функции, предусмотренные свидетельствами и соответствующими квалификационными отметками, в случае ухудшения здоровья, влияющего на безопасное выполнение этих функций, употребления без назначения врача лекарственных препаратов, включенных в перечень лекарственных препаратов, влияющих на способность выполнять функции члена летного экипажа воздушного судна и диспетчера УВД, утвержденный в соответствии со </w:t>
      </w:r>
      <w:hyperlink w:history="0" r:id="rId32" w:tooltip="&quot;Воздушный кодекс Российской Федерации&quot; от 19.03.1997 N 60-ФЗ (ред. от 31.07.2025) {КонсультантПлюс}">
        <w:r>
          <w:rPr>
            <w:sz w:val="20"/>
            <w:color w:val="0000ff"/>
          </w:rPr>
          <w:t xml:space="preserve">статьей 52</w:t>
        </w:r>
      </w:hyperlink>
      <w:r>
        <w:rPr>
          <w:sz w:val="20"/>
        </w:rPr>
        <w:t xml:space="preserve"> Воздушного кодекса Российской Федерации, безотлагательно уведомляют врача-специалиста ВЛЭК ГА (ЦВЛЭК ГА) с момента возникновения факторов, влияющих на безопасное выполнение функций обладателем соответствующего свидетельства, таких как:</w:t>
      </w:r>
    </w:p>
    <w:p>
      <w:pPr>
        <w:pStyle w:val="0"/>
        <w:spacing w:before="200" w:line-rule="auto"/>
        <w:ind w:firstLine="540"/>
        <w:jc w:val="both"/>
      </w:pPr>
      <w:r>
        <w:rPr>
          <w:sz w:val="20"/>
        </w:rPr>
        <w:t xml:space="preserve">1) проведение хирургической операции или инвазивной процедуры;</w:t>
      </w:r>
    </w:p>
    <w:p>
      <w:pPr>
        <w:pStyle w:val="0"/>
        <w:spacing w:before="200" w:line-rule="auto"/>
        <w:ind w:firstLine="540"/>
        <w:jc w:val="both"/>
      </w:pPr>
      <w:r>
        <w:rPr>
          <w:sz w:val="20"/>
        </w:rPr>
        <w:t xml:space="preserve">2) назначение регулярного приема какого-либо лекарственного препарата;</w:t>
      </w:r>
    </w:p>
    <w:p>
      <w:pPr>
        <w:pStyle w:val="0"/>
        <w:spacing w:before="200" w:line-rule="auto"/>
        <w:ind w:firstLine="540"/>
        <w:jc w:val="both"/>
      </w:pPr>
      <w:r>
        <w:rPr>
          <w:sz w:val="20"/>
        </w:rPr>
        <w:t xml:space="preserve">3) получение значительного повреждения, которое влечет за собой неспособность выполнять профессиональные обязанности, предусмотренные соответствующим свидетельством авиационного персонала;</w:t>
      </w:r>
    </w:p>
    <w:p>
      <w:pPr>
        <w:pStyle w:val="0"/>
        <w:spacing w:before="200" w:line-rule="auto"/>
        <w:ind w:firstLine="540"/>
        <w:jc w:val="both"/>
      </w:pPr>
      <w:r>
        <w:rPr>
          <w:sz w:val="20"/>
        </w:rPr>
        <w:t xml:space="preserve">4) заболевание, которое влечет за собой неспособность выполнять профессиональные обязанности, предусмотренные соответствующим свидетельством;</w:t>
      </w:r>
    </w:p>
    <w:p>
      <w:pPr>
        <w:pStyle w:val="0"/>
        <w:spacing w:before="200" w:line-rule="auto"/>
        <w:ind w:firstLine="540"/>
        <w:jc w:val="both"/>
      </w:pPr>
      <w:r>
        <w:rPr>
          <w:sz w:val="20"/>
        </w:rPr>
        <w:t xml:space="preserve">5) беременность и роды;</w:t>
      </w:r>
    </w:p>
    <w:p>
      <w:pPr>
        <w:pStyle w:val="0"/>
        <w:spacing w:before="200" w:line-rule="auto"/>
        <w:ind w:firstLine="540"/>
        <w:jc w:val="both"/>
      </w:pPr>
      <w:r>
        <w:rPr>
          <w:sz w:val="20"/>
        </w:rPr>
        <w:t xml:space="preserve">6) госпитализация;</w:t>
      </w:r>
    </w:p>
    <w:p>
      <w:pPr>
        <w:pStyle w:val="0"/>
        <w:spacing w:before="200" w:line-rule="auto"/>
        <w:ind w:firstLine="540"/>
        <w:jc w:val="both"/>
      </w:pPr>
      <w:r>
        <w:rPr>
          <w:sz w:val="20"/>
        </w:rPr>
        <w:t xml:space="preserve">7) использование слухового аппарата;</w:t>
      </w:r>
    </w:p>
    <w:p>
      <w:pPr>
        <w:pStyle w:val="0"/>
        <w:spacing w:before="200" w:line-rule="auto"/>
        <w:ind w:firstLine="540"/>
        <w:jc w:val="both"/>
      </w:pPr>
      <w:r>
        <w:rPr>
          <w:sz w:val="20"/>
        </w:rPr>
        <w:t xml:space="preserve">8) установление предварительного диагноза профессионального заболевания, исключающего возможность выполнять функции члена летного экипажа воздушного судна и диспетчера УВД;</w:t>
      </w:r>
    </w:p>
    <w:p>
      <w:pPr>
        <w:pStyle w:val="0"/>
        <w:spacing w:before="200" w:line-rule="auto"/>
        <w:ind w:firstLine="540"/>
        <w:jc w:val="both"/>
      </w:pPr>
      <w:r>
        <w:rPr>
          <w:sz w:val="20"/>
        </w:rPr>
        <w:t xml:space="preserve">9) установление заключительного диагноза профессионального заболевания, исключающего возможность выполнять функции члена летного экипажа воздушного судна и диспетчера УВД;</w:t>
      </w:r>
    </w:p>
    <w:p>
      <w:pPr>
        <w:pStyle w:val="0"/>
        <w:spacing w:before="200" w:line-rule="auto"/>
        <w:ind w:firstLine="540"/>
        <w:jc w:val="both"/>
      </w:pPr>
      <w:r>
        <w:rPr>
          <w:sz w:val="20"/>
        </w:rPr>
        <w:t xml:space="preserve">10) определение стойкой утраты профессиональной трудоспособности.</w:t>
      </w:r>
    </w:p>
    <w:p>
      <w:pPr>
        <w:pStyle w:val="0"/>
        <w:spacing w:before="200" w:line-rule="auto"/>
        <w:ind w:firstLine="540"/>
        <w:jc w:val="both"/>
      </w:pPr>
      <w:r>
        <w:rPr>
          <w:sz w:val="20"/>
        </w:rPr>
        <w:t xml:space="preserve">11.1. Обладатели свидетельств не выполняют функции, предусмотренные соответствующими свидетельствами, квалификационными отметками или медицинскими заключениями:</w:t>
      </w:r>
    </w:p>
    <w:p>
      <w:pPr>
        <w:pStyle w:val="0"/>
        <w:spacing w:before="200" w:line-rule="auto"/>
        <w:ind w:firstLine="540"/>
        <w:jc w:val="both"/>
      </w:pPr>
      <w:r>
        <w:rPr>
          <w:sz w:val="20"/>
        </w:rPr>
        <w:t xml:space="preserve">1) если они осведомлены о каком-либо снижении их годности по состоянию здоровья, которое повлечет невозможность безопасного осуществления ими своих функций;</w:t>
      </w:r>
    </w:p>
    <w:p>
      <w:pPr>
        <w:pStyle w:val="0"/>
        <w:spacing w:before="200" w:line-rule="auto"/>
        <w:ind w:firstLine="540"/>
        <w:jc w:val="both"/>
      </w:pPr>
      <w:r>
        <w:rPr>
          <w:sz w:val="20"/>
        </w:rPr>
        <w:t xml:space="preserve">2) если они принимают или используют какие-либо предписанные или непредписанные лекарственные препараты, которые могут препятствовать безопасному осуществлению функций, предусмотренных соответствующим свидетельством;</w:t>
      </w:r>
    </w:p>
    <w:p>
      <w:pPr>
        <w:pStyle w:val="0"/>
        <w:spacing w:before="200" w:line-rule="auto"/>
        <w:ind w:firstLine="540"/>
        <w:jc w:val="both"/>
      </w:pPr>
      <w:r>
        <w:rPr>
          <w:sz w:val="20"/>
        </w:rPr>
        <w:t xml:space="preserve">3) если они получают какое-либо медицинское, хирургическое или иное лечение, которое представляет угрозу безопасности полетов.</w:t>
      </w:r>
    </w:p>
    <w:p>
      <w:pPr>
        <w:pStyle w:val="0"/>
        <w:spacing w:before="200" w:line-rule="auto"/>
        <w:ind w:firstLine="540"/>
        <w:jc w:val="both"/>
      </w:pPr>
      <w:r>
        <w:rPr>
          <w:sz w:val="20"/>
        </w:rPr>
        <w:t xml:space="preserve">12. При проведении обязательного медицинского освидетельствования членов летного экипажа гражданского воздушного судна, диспетчеров УВД одновременно проводятся обязательные предварительные (при поступлении на работу) и периодические (в течение трудовой деятельности) медицинские осмотры, результаты которых учитываются при медицинском освидетельствовании.</w:t>
      </w:r>
    </w:p>
    <w:p>
      <w:pPr>
        <w:pStyle w:val="0"/>
        <w:spacing w:before="200" w:line-rule="auto"/>
        <w:ind w:firstLine="540"/>
        <w:jc w:val="both"/>
      </w:pPr>
      <w:r>
        <w:rPr>
          <w:sz w:val="20"/>
        </w:rPr>
        <w:t xml:space="preserve">13. По рекомендациям ВЛЭК ГА (ЦВЛЭК ГА) с целью мониторинга состояния здоровья членов летного экипажа гражданского воздушного судна, диспетчеров УВД, абитуриентов, имеющих заболевания, в период между обязательными медицинскими освидетельствованиями проводятся лабораторные, диагностические исследования и медицинские осмотры врачом-специалистом ВЛЭК ГА или врачом по авиационной и космической медицине &lt;4(1)&gt;.</w:t>
      </w:r>
    </w:p>
    <w:p>
      <w:pPr>
        <w:pStyle w:val="0"/>
        <w:jc w:val="both"/>
      </w:pPr>
      <w:r>
        <w:rPr>
          <w:sz w:val="20"/>
        </w:rPr>
        <w:t xml:space="preserve">(в ред. </w:t>
      </w:r>
      <w:hyperlink w:history="0" r:id="rId3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Ограничение срока действия до 01.09.2025 Номенклатуры, утв. Приказом Минздрава России от 02.05.2023 N 205н, исключено (</w:t>
            </w:r>
            <w:hyperlink w:history="0" r:id="rId34" w:tooltip="Приказ Минздрава России от 03.06.2025 N 328н &quot;О внесении изменений в приказ Министерства здравоохранения Российской Федерации от 2 мая 2023 г. N 205н и приказ Министерства здравоохранения Российской Федерации от 4 декабря 2023 г. N 649н&quot; (Зарегистрировано в Минюсте России 03.07.2025 N 82801) {КонсультантПлюс}">
              <w:r>
                <w:rPr>
                  <w:sz w:val="20"/>
                  <w:color w:val="0000ff"/>
                </w:rPr>
                <w:t xml:space="preserve">Приказ</w:t>
              </w:r>
            </w:hyperlink>
            <w:r>
              <w:rPr>
                <w:sz w:val="20"/>
                <w:color w:val="392c69"/>
              </w:rPr>
              <w:t xml:space="preserve"> Минздрава России от 03.06.2025 N 328н).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&lt;4(1)&gt; </w:t>
      </w:r>
      <w:hyperlink w:history="0" r:id="rId35"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0"/>
            <w:color w:val="0000ff"/>
          </w:rPr>
          <w:t xml:space="preserve">Подпункт 5.1.54 пункта 5</w:t>
        </w:r>
      </w:hyperlink>
      <w:r>
        <w:rPr>
          <w:sz w:val="20"/>
        </w:rPr>
        <w:t xml:space="preserve"> Номенклатуры должностей медицинских работников и фармацевтических работников, утвержденной приказом Министерства здравоохранения Российской Федерации от 2 мая 2023 г. N 205н (зарегистрирован Минюстом России 1 июня 2023 г., регистрационный N 73664), с изменениями, внесенными приказом Министерства здравоохранения Российской Федерации от 4 декабря 2023 г. N 649н (зарегистрирован Минюстом России 21 декабря 2023 г., регистрационный N 76537) (далее - приказ N 205н). В соответствии с </w:t>
      </w:r>
      <w:hyperlink w:history="0" r:id="rId36"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0"/>
            <w:color w:val="0000ff"/>
          </w:rPr>
          <w:t xml:space="preserve">пунктом 3</w:t>
        </w:r>
      </w:hyperlink>
      <w:r>
        <w:rPr>
          <w:sz w:val="20"/>
        </w:rPr>
        <w:t xml:space="preserve"> приказа N 205н данный акт действует до 1 сентября 2025 г.</w:t>
      </w:r>
    </w:p>
    <w:p>
      <w:pPr>
        <w:pStyle w:val="0"/>
        <w:jc w:val="both"/>
      </w:pPr>
      <w:r>
        <w:rPr>
          <w:sz w:val="20"/>
        </w:rPr>
        <w:t xml:space="preserve">(сноска введена </w:t>
      </w:r>
      <w:hyperlink w:history="0" r:id="rId3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ind w:firstLine="540"/>
        <w:jc w:val="both"/>
      </w:pPr>
      <w:r>
        <w:rPr>
          <w:sz w:val="20"/>
        </w:rPr>
      </w:r>
    </w:p>
    <w:p>
      <w:pPr>
        <w:pStyle w:val="0"/>
        <w:ind w:firstLine="540"/>
        <w:jc w:val="both"/>
      </w:pPr>
      <w:r>
        <w:rPr>
          <w:sz w:val="20"/>
        </w:rPr>
        <w:t xml:space="preserve">Периодичность проведения медицинских осмотров (с указанием срока на оборотной стороне медицинского заключения) и перечень включаемых в них исследований определяются ВЛЭК ГА (ЦВЛЭК ГА) по результатам медицинского освидетельствования.</w:t>
      </w:r>
    </w:p>
    <w:p>
      <w:pPr>
        <w:pStyle w:val="0"/>
        <w:spacing w:before="200" w:line-rule="auto"/>
        <w:ind w:firstLine="540"/>
        <w:jc w:val="both"/>
      </w:pPr>
      <w:r>
        <w:rPr>
          <w:sz w:val="20"/>
        </w:rPr>
        <w:t xml:space="preserve">Медицинские осмотры проводятся после закрытия листка нетрудоспособности (продолжительностью 15 дней и более), отстранения на предполетном (предсменном) медицинском осмотре по показаниям, установленным </w:t>
      </w:r>
      <w:hyperlink w:history="0" r:id="rId38" w:tooltip="Приказ Минтранса России от 10.12.2021 N 438 &quot;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quot; (Зарегистрировано в Минюсте России 24.12.2021 N 66543) {КонсультантПлюс}">
        <w:r>
          <w:rPr>
            <w:sz w:val="20"/>
            <w:color w:val="0000ff"/>
          </w:rPr>
          <w:t xml:space="preserve">порядком</w:t>
        </w:r>
      </w:hyperlink>
      <w:r>
        <w:rPr>
          <w:sz w:val="20"/>
        </w:rPr>
        <w:t xml:space="preserve">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УВД, утверждаемым в соответствии с </w:t>
      </w:r>
      <w:hyperlink w:history="0" r:id="rId39" w:tooltip="&quot;Воздушный кодекс Российской Федерации&quot; от 19.03.1997 N 60-ФЗ (ред. от 31.07.2025) {КонсультантПлюс}">
        <w:r>
          <w:rPr>
            <w:sz w:val="20"/>
            <w:color w:val="0000ff"/>
          </w:rPr>
          <w:t xml:space="preserve">пунктом 7 статьи 53.1</w:t>
        </w:r>
      </w:hyperlink>
      <w:r>
        <w:rPr>
          <w:sz w:val="20"/>
        </w:rPr>
        <w:t xml:space="preserve"> Воздушного кодекса Российской Федерации, после авиационных происшествий и серьезных авиационных инцидентов, а также медицинские осмотры абитуриентов - перед началом учебно-производственной практики (учебных полетов).</w:t>
      </w:r>
    </w:p>
    <w:p>
      <w:pPr>
        <w:pStyle w:val="0"/>
        <w:jc w:val="both"/>
      </w:pPr>
      <w:r>
        <w:rPr>
          <w:sz w:val="20"/>
        </w:rPr>
        <w:t xml:space="preserve">(в ред. </w:t>
      </w:r>
      <w:hyperlink w:history="0" r:id="rId4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center"/>
      </w:pPr>
      <w:r>
        <w:rPr>
          <w:sz w:val="20"/>
        </w:rPr>
      </w:r>
    </w:p>
    <w:p>
      <w:pPr>
        <w:pStyle w:val="2"/>
        <w:outlineLvl w:val="1"/>
        <w:jc w:val="center"/>
      </w:pPr>
      <w:r>
        <w:rPr>
          <w:sz w:val="20"/>
        </w:rPr>
        <w:t xml:space="preserve">II. Обязательное медицинское освидетельствование</w:t>
      </w:r>
    </w:p>
    <w:p>
      <w:pPr>
        <w:pStyle w:val="0"/>
        <w:jc w:val="center"/>
      </w:pPr>
      <w:r>
        <w:rPr>
          <w:sz w:val="20"/>
        </w:rPr>
      </w:r>
    </w:p>
    <w:p>
      <w:pPr>
        <w:pStyle w:val="0"/>
        <w:ind w:firstLine="540"/>
        <w:jc w:val="both"/>
      </w:pPr>
      <w:r>
        <w:rPr>
          <w:sz w:val="20"/>
        </w:rPr>
        <w:t xml:space="preserve">14. Обязательное медицинское освидетельствование проводится по личному заявлению кандидата на получение медицинского заключения или направлению работодателя. Перед проведением медицинского освидетельствования кандидат на получение медицинского заключения оформляет заявление (рекомендуемый образец приведен в </w:t>
      </w:r>
      <w:hyperlink w:history="0" w:anchor="P361" w:tooltip="Заявление на медицинское освидетельствование">
        <w:r>
          <w:rPr>
            <w:sz w:val="20"/>
            <w:color w:val="0000ff"/>
          </w:rPr>
          <w:t xml:space="preserve">приложении N 2</w:t>
        </w:r>
      </w:hyperlink>
      <w:r>
        <w:rPr>
          <w:sz w:val="20"/>
        </w:rPr>
        <w:t xml:space="preserve"> к настоящему Порядку).</w:t>
      </w:r>
    </w:p>
    <w:p>
      <w:pPr>
        <w:pStyle w:val="0"/>
        <w:spacing w:before="200" w:line-rule="auto"/>
        <w:ind w:firstLine="540"/>
        <w:jc w:val="both"/>
      </w:pPr>
      <w:r>
        <w:rPr>
          <w:sz w:val="20"/>
        </w:rPr>
        <w:t xml:space="preserve">15. Медицинский эксперт - председатель ВЛЭК ГА (ЦВЛЭК ГА) или заместитель председателя ЦВЛЭК ГА перед началом обязательного медицинского освидетельствования проверяет заявление кандидата на получение медицинского заключения и документ, удостоверяющий его личность, а также сведения о состоянии его здоровья и результатах ранее проведенного медицинского освидетельствования, причинах отстранения от работы на предполетном (предсменном) медицинском осмотре.</w:t>
      </w:r>
    </w:p>
    <w:p>
      <w:pPr>
        <w:pStyle w:val="0"/>
        <w:spacing w:before="200" w:line-rule="auto"/>
        <w:ind w:firstLine="540"/>
        <w:jc w:val="both"/>
      </w:pPr>
      <w:r>
        <w:rPr>
          <w:sz w:val="20"/>
        </w:rPr>
        <w:t xml:space="preserve">15.1. При выявлении в подписанном заявлении недостоверных фактов, указывающих на сокрытие заболеваний, известных заявителю - кандидату на получение медицинского заключения и представляющих опасность для выполнения полетов, медицинский эксперт - председатель ВЛЭК ГА (ЦВЛЭК ГА) направляет подлинник заявления с сопроводительным письмом в уполномоченный орган в области гражданской авиации.</w:t>
      </w:r>
    </w:p>
    <w:p>
      <w:pPr>
        <w:pStyle w:val="0"/>
        <w:spacing w:before="200" w:line-rule="auto"/>
        <w:ind w:firstLine="540"/>
        <w:jc w:val="both"/>
      </w:pPr>
      <w:r>
        <w:rPr>
          <w:sz w:val="20"/>
        </w:rPr>
        <w:t xml:space="preserve">16. Для проведения обязательного медицинского освидетельствования и получения медицинского заключения кандидат на получение медицинского заключения представляет ВЛЭК ГА (ЦВЛЭК ГА) следующие документы:</w:t>
      </w:r>
    </w:p>
    <w:p>
      <w:pPr>
        <w:pStyle w:val="0"/>
        <w:spacing w:before="200" w:line-rule="auto"/>
        <w:ind w:firstLine="540"/>
        <w:jc w:val="both"/>
      </w:pPr>
      <w:r>
        <w:rPr>
          <w:sz w:val="20"/>
        </w:rPr>
        <w:t xml:space="preserve">документ, удостоверяющий личность;</w:t>
      </w:r>
    </w:p>
    <w:p>
      <w:pPr>
        <w:pStyle w:val="0"/>
        <w:spacing w:before="200" w:line-rule="auto"/>
        <w:ind w:firstLine="540"/>
        <w:jc w:val="both"/>
      </w:pPr>
      <w:r>
        <w:rPr>
          <w:sz w:val="20"/>
        </w:rPr>
        <w:t xml:space="preserve">документы о состоянии здоровья (личное медицинское дело, медицинские книжки, медицинская карта с данными обследований (ЭКГ, рентгеновские снимки или флюорограмма, аудиограммы, данные других исследований, осмотров, консультаций и врачебных наблюдений).</w:t>
      </w:r>
    </w:p>
    <w:p>
      <w:pPr>
        <w:pStyle w:val="0"/>
        <w:spacing w:before="200" w:line-rule="auto"/>
        <w:ind w:firstLine="540"/>
        <w:jc w:val="both"/>
      </w:pPr>
      <w:r>
        <w:rPr>
          <w:sz w:val="20"/>
        </w:rPr>
        <w:t xml:space="preserve">Абитуриенты представляют ВЛЭК ГА (ЦВЛЭК ГА) следующие документы:</w:t>
      </w:r>
    </w:p>
    <w:p>
      <w:pPr>
        <w:pStyle w:val="0"/>
        <w:spacing w:before="200" w:line-rule="auto"/>
        <w:ind w:firstLine="540"/>
        <w:jc w:val="both"/>
      </w:pPr>
      <w:r>
        <w:rPr>
          <w:sz w:val="20"/>
        </w:rPr>
        <w:t xml:space="preserve">документ, удостоверяющий личность;</w:t>
      </w:r>
    </w:p>
    <w:p>
      <w:pPr>
        <w:pStyle w:val="0"/>
        <w:spacing w:before="200" w:line-rule="auto"/>
        <w:ind w:firstLine="540"/>
        <w:jc w:val="both"/>
      </w:pPr>
      <w:r>
        <w:rPr>
          <w:sz w:val="20"/>
        </w:rPr>
        <w:t xml:space="preserve">медицинскую справку по </w:t>
      </w:r>
      <w:hyperlink w:history="0" r:id="rId41" w:tooltip="Приказ Минздрава России от 15.12.2014 N 834н (ред. от 18.04.2024)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вместе с &quot;Порядком заполнения учетной формы N 025/у &quot;Медицинская карта пациента, получающего медицинскую помощь в амбулаторных условиях&quot;, &quot;Порядком заполнения учетной формы 025-1/у &quot;Талон пациента, получающего медицинскую помощь в амбулаторных условиях&quot;, &quot; ------------ Утратил силу или отменен {КонсультантПлюс}">
        <w:r>
          <w:rPr>
            <w:sz w:val="20"/>
            <w:color w:val="0000ff"/>
          </w:rPr>
          <w:t xml:space="preserve">форме 086/у</w:t>
        </w:r>
      </w:hyperlink>
      <w:r>
        <w:rPr>
          <w:sz w:val="20"/>
        </w:rPr>
        <w:t xml:space="preserve">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42" w:tooltip="Приказ Минздрава России от 15.12.2014 N 834н (ред. от 18.04.2024)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вместе с &quot;Порядком заполнения учетной формы N 025/у &quot;Медицинская карта пациента, получающего медицинскую помощь в амбулаторных условиях&quot;, &quot;Порядком заполнения учетной формы 025-1/у &quot;Талон пациента, получающего медицинскую помощь в амбулаторных условиях&quot;, &quot; ------------ Утратил силу или отменен {КонсультантПлюс}">
        <w:r>
          <w:rPr>
            <w:sz w:val="20"/>
            <w:color w:val="0000ff"/>
          </w:rPr>
          <w:t xml:space="preserve">Приложение N 19</w:t>
        </w:r>
      </w:hyperlink>
      <w:r>
        <w:rPr>
          <w:sz w:val="20"/>
        </w:rPr>
        <w:t xml:space="preserve"> к приказу Минздрава России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 февраля 2015 г., регистрационный N 36160) с изменениями, внесенными приказами Минздрава России от 9 января 2018 г. N 2н (зарегистрирован Минюстом России 4 апреля 2018 г., регистрационный N 50614), от 2 ноября 2020 г. N 1186н (зарегистрирован Минюстом России 27 ноября 2020 г., регистрационный N 61121).</w:t>
      </w:r>
    </w:p>
    <w:p>
      <w:pPr>
        <w:pStyle w:val="0"/>
        <w:ind w:firstLine="540"/>
        <w:jc w:val="both"/>
      </w:pPr>
      <w:r>
        <w:rPr>
          <w:sz w:val="20"/>
        </w:rPr>
      </w:r>
    </w:p>
    <w:p>
      <w:pPr>
        <w:pStyle w:val="0"/>
        <w:ind w:firstLine="540"/>
        <w:jc w:val="both"/>
      </w:pPr>
      <w:r>
        <w:rPr>
          <w:sz w:val="20"/>
        </w:rPr>
        <w:t xml:space="preserve">амбулаторную карту или выписку из нее;</w:t>
      </w:r>
    </w:p>
    <w:p>
      <w:pPr>
        <w:pStyle w:val="0"/>
        <w:spacing w:before="200" w:line-rule="auto"/>
        <w:ind w:firstLine="540"/>
        <w:jc w:val="both"/>
      </w:pPr>
      <w:r>
        <w:rPr>
          <w:sz w:val="20"/>
        </w:rPr>
        <w:t xml:space="preserve">военный билет или удостоверение гражданина, подлежащего призыву на военную службу (для военнообязанных), с выпиской из военкомата при наличии ограничения к военной службе;</w:t>
      </w:r>
    </w:p>
    <w:p>
      <w:pPr>
        <w:pStyle w:val="0"/>
        <w:spacing w:before="200" w:line-rule="auto"/>
        <w:ind w:firstLine="540"/>
        <w:jc w:val="both"/>
      </w:pPr>
      <w:r>
        <w:rPr>
          <w:sz w:val="20"/>
        </w:rPr>
        <w:t xml:space="preserve">заключения врача-психиатра и врача психиатра-нарколога;</w:t>
      </w:r>
    </w:p>
    <w:p>
      <w:pPr>
        <w:pStyle w:val="0"/>
        <w:jc w:val="both"/>
      </w:pPr>
      <w:r>
        <w:rPr>
          <w:sz w:val="20"/>
        </w:rPr>
        <w:t xml:space="preserve">(в ред. </w:t>
      </w:r>
      <w:hyperlink w:history="0" r:id="rId4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результаты анализов на ВИЧ-инфекцию, гепатиты B и C, сифилис.</w:t>
      </w:r>
    </w:p>
    <w:p>
      <w:pPr>
        <w:pStyle w:val="0"/>
        <w:spacing w:before="200" w:line-rule="auto"/>
        <w:ind w:firstLine="540"/>
        <w:jc w:val="both"/>
      </w:pPr>
      <w:r>
        <w:rPr>
          <w:sz w:val="20"/>
        </w:rPr>
        <w:t xml:space="preserve">17. Обязательное медицинское освидетельствование кандидатов на получение медицинских заключений 1, 2 и 3 классов включает лабораторные и диагностические исследования и медицинские осмотры врачами-специалистами в объеме, предусмотренном </w:t>
      </w:r>
      <w:hyperlink w:history="0" w:anchor="P610" w:tooltip="ПЕРЕЧЕНЬ МЕДИЦИНСКИХ ИССЛЕДОВАНИЙ">
        <w:r>
          <w:rPr>
            <w:sz w:val="20"/>
            <w:color w:val="0000ff"/>
          </w:rPr>
          <w:t xml:space="preserve">приложением N 3</w:t>
        </w:r>
      </w:hyperlink>
      <w:r>
        <w:rPr>
          <w:sz w:val="20"/>
        </w:rPr>
        <w:t xml:space="preserve"> к настоящему Порядку.</w:t>
      </w:r>
    </w:p>
    <w:p>
      <w:pPr>
        <w:pStyle w:val="0"/>
        <w:spacing w:before="200" w:line-rule="auto"/>
        <w:ind w:firstLine="540"/>
        <w:jc w:val="both"/>
      </w:pPr>
      <w:r>
        <w:rPr>
          <w:sz w:val="20"/>
        </w:rPr>
        <w:t xml:space="preserve">18. При обязательном медицинском освидетельствовании проводится проверка соответствия состояния здоровья кандидата на получение медицинского заключения требованиям к состоянию здоровья, на основании которых определяется годность к выполнению функций членов летного экипажа, диспетчеров УВД и обучению в образовательных организациях гражданской авиации, предусмотренным </w:t>
      </w:r>
      <w:hyperlink w:history="0" w:anchor="P794" w:tooltip="ТРЕБОВАНИЯ">
        <w:r>
          <w:rPr>
            <w:sz w:val="20"/>
            <w:color w:val="0000ff"/>
          </w:rPr>
          <w:t xml:space="preserve">приложениями N 4</w:t>
        </w:r>
      </w:hyperlink>
      <w:r>
        <w:rPr>
          <w:sz w:val="20"/>
        </w:rPr>
        <w:t xml:space="preserve">, </w:t>
      </w:r>
      <w:hyperlink w:history="0" w:anchor="P1709" w:tooltip="ТРЕБОВАНИЯ">
        <w:r>
          <w:rPr>
            <w:sz w:val="20"/>
            <w:color w:val="0000ff"/>
          </w:rPr>
          <w:t xml:space="preserve">5</w:t>
        </w:r>
      </w:hyperlink>
      <w:r>
        <w:rPr>
          <w:sz w:val="20"/>
        </w:rPr>
        <w:t xml:space="preserve">, </w:t>
      </w:r>
      <w:hyperlink w:history="0" w:anchor="P2505" w:tooltip="ТРЕБОВАНИЯ">
        <w:r>
          <w:rPr>
            <w:sz w:val="20"/>
            <w:color w:val="0000ff"/>
          </w:rPr>
          <w:t xml:space="preserve">6</w:t>
        </w:r>
      </w:hyperlink>
      <w:r>
        <w:rPr>
          <w:sz w:val="20"/>
        </w:rPr>
        <w:t xml:space="preserve"> к настоящему Порядку.</w:t>
      </w:r>
    </w:p>
    <w:p>
      <w:pPr>
        <w:pStyle w:val="0"/>
        <w:spacing w:before="200" w:line-rule="auto"/>
        <w:ind w:firstLine="540"/>
        <w:jc w:val="both"/>
      </w:pPr>
      <w:r>
        <w:rPr>
          <w:sz w:val="20"/>
        </w:rPr>
        <w:t xml:space="preserve">19. Медицинское обследование кандидатов на получение медицинского заключения 1 класса в стационарных условиях медицинской организации, находящейся в ведении уполномоченного органа, с последующим обязательным медицинским освидетельствованием в ЦВЛЭК ГА проводится по направлению медицинского эксперта-председателя ВЛЭК ГА (ЦВЛЭК ГА) или врача по авиационной и космической медицине в следующих случаях:</w:t>
      </w:r>
    </w:p>
    <w:p>
      <w:pPr>
        <w:pStyle w:val="0"/>
        <w:spacing w:before="200" w:line-rule="auto"/>
        <w:ind w:firstLine="540"/>
        <w:jc w:val="both"/>
      </w:pPr>
      <w:r>
        <w:rPr>
          <w:sz w:val="20"/>
        </w:rPr>
        <w:t xml:space="preserve">после авиационных происшествий и серьезных авиационных инцидентов, связанных с ухудшением состояния здоровья членов летных экипажей, после завершения курса реабилитации - однократно;</w:t>
      </w:r>
    </w:p>
    <w:p>
      <w:pPr>
        <w:pStyle w:val="0"/>
        <w:spacing w:before="200" w:line-rule="auto"/>
        <w:ind w:firstLine="540"/>
        <w:jc w:val="both"/>
      </w:pPr>
      <w:r>
        <w:rPr>
          <w:sz w:val="20"/>
        </w:rPr>
        <w:t xml:space="preserve">при достижении возраста 65 лет и более - не реже 1 раза в год;</w:t>
      </w:r>
    </w:p>
    <w:p>
      <w:pPr>
        <w:pStyle w:val="0"/>
        <w:spacing w:before="200" w:line-rule="auto"/>
        <w:ind w:firstLine="540"/>
        <w:jc w:val="both"/>
      </w:pPr>
      <w:r>
        <w:rPr>
          <w:sz w:val="20"/>
        </w:rPr>
        <w:t xml:space="preserve">при впервые выявленном в соответствии с </w:t>
      </w:r>
      <w:hyperlink w:history="0" w:anchor="P805" w:tooltip="2. Очень высокий сердечно-сосудистый риск устанавливается при наличии одного из следующих состояний:">
        <w:r>
          <w:rPr>
            <w:sz w:val="20"/>
            <w:color w:val="0000ff"/>
          </w:rPr>
          <w:t xml:space="preserve">пунктом 2</w:t>
        </w:r>
      </w:hyperlink>
      <w:r>
        <w:rPr>
          <w:sz w:val="20"/>
        </w:rPr>
        <w:t xml:space="preserve"> приложения N 4 к настоящему Порядку высоком и очень высоком суммарном риске сердечно-сосудистых заболеваний;</w:t>
      </w:r>
    </w:p>
    <w:p>
      <w:pPr>
        <w:pStyle w:val="0"/>
        <w:spacing w:before="200" w:line-rule="auto"/>
        <w:ind w:firstLine="540"/>
        <w:jc w:val="both"/>
      </w:pPr>
      <w:r>
        <w:rPr>
          <w:sz w:val="20"/>
        </w:rPr>
        <w:t xml:space="preserve">при очень высоком суммарном риске сердечно-сосудистых заболеваний - не реже 1 раза в год;</w:t>
      </w:r>
    </w:p>
    <w:p>
      <w:pPr>
        <w:pStyle w:val="0"/>
        <w:spacing w:before="200" w:line-rule="auto"/>
        <w:ind w:firstLine="540"/>
        <w:jc w:val="both"/>
      </w:pPr>
      <w:r>
        <w:rPr>
          <w:sz w:val="20"/>
        </w:rPr>
        <w:t xml:space="preserve">при наличии заболеваний, при которых кандидат на получение медицинского заключения подлежит медицинскому обследованию в стационарных условиях медицинской организации, находящейся в ведении уполномоченного органа, согласно </w:t>
      </w:r>
      <w:hyperlink w:history="0" w:anchor="P794" w:tooltip="ТРЕБОВАНИЯ">
        <w:r>
          <w:rPr>
            <w:sz w:val="20"/>
            <w:color w:val="0000ff"/>
          </w:rPr>
          <w:t xml:space="preserve">приложению N 4</w:t>
        </w:r>
      </w:hyperlink>
      <w:r>
        <w:rPr>
          <w:sz w:val="20"/>
        </w:rPr>
        <w:t xml:space="preserve"> к настоящему Порядку.</w:t>
      </w:r>
    </w:p>
    <w:p>
      <w:pPr>
        <w:pStyle w:val="0"/>
        <w:jc w:val="both"/>
      </w:pPr>
      <w:r>
        <w:rPr>
          <w:sz w:val="20"/>
        </w:rPr>
        <w:t xml:space="preserve">(п. 19 в ред. </w:t>
      </w:r>
      <w:hyperlink w:history="0" r:id="rId4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19.1. Медицинское обследование в стационарных условиях проводится в отделении медицинского обследования авиационного персонала (в объеме, предусмотренном настоящим Порядком) или в специализированных отделениях стационара медицинской организации, находящейся в ведении уполномоченного органа, в срок не более 4 рабочих дней (для кандидата на получение медицинского заключения в возрасте до 40 лет) и не более 7 рабочих дней (для кандидата на получение медицинского заключения в возрасте 40 лет и старше), в том числе в рамках государственной программы "Развитие здравоохранения" &lt;7&gt;.</w:t>
      </w:r>
    </w:p>
    <w:p>
      <w:pPr>
        <w:pStyle w:val="0"/>
        <w:jc w:val="both"/>
      </w:pPr>
      <w:r>
        <w:rPr>
          <w:sz w:val="20"/>
        </w:rPr>
        <w:t xml:space="preserve">(п. 19.1 в ред. </w:t>
      </w:r>
      <w:hyperlink w:history="0" r:id="rId4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46"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 {КонсультантПлюс}">
        <w:r>
          <w:rPr>
            <w:sz w:val="20"/>
            <w:color w:val="0000ff"/>
          </w:rPr>
          <w:t xml:space="preserve">Постановление</w:t>
        </w:r>
      </w:hyperlink>
      <w:r>
        <w:rPr>
          <w:sz w:val="20"/>
        </w:rPr>
        <w:t xml:space="preserve">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jc w:val="both"/>
      </w:pPr>
      <w:r>
        <w:rPr>
          <w:sz w:val="20"/>
        </w:rPr>
        <w:t xml:space="preserve">(сноска в ред. </w:t>
      </w:r>
      <w:hyperlink w:history="0" r:id="rId4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ind w:firstLine="540"/>
        <w:jc w:val="both"/>
      </w:pPr>
      <w:r>
        <w:rPr>
          <w:sz w:val="20"/>
        </w:rPr>
      </w:r>
    </w:p>
    <w:p>
      <w:pPr>
        <w:pStyle w:val="0"/>
        <w:ind w:firstLine="540"/>
        <w:jc w:val="both"/>
      </w:pPr>
      <w:r>
        <w:rPr>
          <w:sz w:val="20"/>
        </w:rPr>
        <w:t xml:space="preserve">19.2. По медицинским показаниям объем исследований может быть расширен при медицинском обследовании в стационарных условиях отделения медицинского обследования авиационного персонала медицинской организации, находящейся в ведении уполномоченного органа, с обязательным уведомлением работодателя об увеличении срока прохождения медицинского обследования и освидетельствования.</w:t>
      </w:r>
    </w:p>
    <w:p>
      <w:pPr>
        <w:pStyle w:val="0"/>
        <w:jc w:val="both"/>
      </w:pPr>
      <w:r>
        <w:rPr>
          <w:sz w:val="20"/>
        </w:rPr>
        <w:t xml:space="preserve">(в ред. </w:t>
      </w:r>
      <w:hyperlink w:history="0" r:id="rId4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 Решение о необходимости внеочередного медицинского освидетельствования принимает медицинский эксперт - председатель ВЛЭК ГА, медицинский эксперт - председатель ЦВЛЭК ГА по представлению врача-специалиста ВЛЭК ГА (ЦВЛЭК ГА).</w:t>
      </w:r>
    </w:p>
    <w:p>
      <w:pPr>
        <w:pStyle w:val="0"/>
        <w:spacing w:before="200" w:line-rule="auto"/>
        <w:ind w:firstLine="540"/>
        <w:jc w:val="both"/>
      </w:pPr>
      <w:r>
        <w:rPr>
          <w:sz w:val="20"/>
        </w:rPr>
        <w:t xml:space="preserve">21. При тяжелом заболевании (травме) члена летного экипажа гражданского воздушного судна, диспетчера УВД, абитуриента заключение о негодности к выполнению функций, предусмотренных свидетельством, может быть вынесено ВЛЭК ГА (ЦВЛЭК ГА) заочно по представленным лечебным учреждением документам.</w:t>
      </w:r>
    </w:p>
    <w:p>
      <w:pPr>
        <w:pStyle w:val="0"/>
        <w:spacing w:before="200" w:line-rule="auto"/>
        <w:ind w:firstLine="540"/>
        <w:jc w:val="both"/>
      </w:pPr>
      <w:r>
        <w:rPr>
          <w:sz w:val="20"/>
        </w:rPr>
        <w:t xml:space="preserve">22. Оформление результатов обязательного медицинского освидетельствования:</w:t>
      </w:r>
    </w:p>
    <w:p>
      <w:pPr>
        <w:pStyle w:val="0"/>
        <w:spacing w:before="200" w:line-rule="auto"/>
        <w:ind w:firstLine="540"/>
        <w:jc w:val="both"/>
      </w:pPr>
      <w:r>
        <w:rPr>
          <w:sz w:val="20"/>
        </w:rPr>
        <w:t xml:space="preserve">22.1. Врачи-специалисты - члены ВЛЭК ГА (ЦВЛЭК ГА) заносят в протокол обязательного медицинского освидетельствования ВЛЭК ГА (ЦВЛЭК ГА) (рекомендуемый образец приведен в </w:t>
      </w:r>
      <w:hyperlink w:history="0" w:anchor="P3325" w:tooltip="ПРОТОКОЛ N ____ от _________">
        <w:r>
          <w:rPr>
            <w:sz w:val="20"/>
            <w:color w:val="0000ff"/>
          </w:rPr>
          <w:t xml:space="preserve">приложении N 7</w:t>
        </w:r>
      </w:hyperlink>
      <w:r>
        <w:rPr>
          <w:sz w:val="20"/>
        </w:rPr>
        <w:t xml:space="preserve"> к настоящему Порядку) данные медицинского осмотра, результаты лабораторных и инструментальных исследований, формулируют диагноз (если выявлено заболевание) в соответствии с Десятым пересмотром Международной статистической </w:t>
      </w:r>
      <w:hyperlink w:history="0" r:id="rId4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классификации</w:t>
        </w:r>
      </w:hyperlink>
      <w:r>
        <w:rPr>
          <w:sz w:val="20"/>
        </w:rPr>
        <w:t xml:space="preserve"> болезней и проблем, связанных со здоровьем (далее - МКБ-10) и клиническими рекомендациями, выносят заключение о соответствии/несоответствии кандидата на получение медицинского заключения установленным требованиям и делают назначения с указанием сроков для их выполнения.</w:t>
      </w:r>
    </w:p>
    <w:p>
      <w:pPr>
        <w:pStyle w:val="0"/>
        <w:jc w:val="both"/>
      </w:pPr>
      <w:r>
        <w:rPr>
          <w:sz w:val="20"/>
        </w:rPr>
        <w:t xml:space="preserve">(в ред. </w:t>
      </w:r>
      <w:hyperlink w:history="0" r:id="rId5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199" w:name="P199"/>
    <w:bookmarkEnd w:id="199"/>
    <w:p>
      <w:pPr>
        <w:pStyle w:val="0"/>
        <w:spacing w:before="200" w:line-rule="auto"/>
        <w:ind w:firstLine="540"/>
        <w:jc w:val="both"/>
      </w:pPr>
      <w:r>
        <w:rPr>
          <w:sz w:val="20"/>
        </w:rPr>
        <w:t xml:space="preserve">22.2. По окончании обязательного медицинского освидетельствования кандидата на получение медицинского заключения медицинский эксперт - председатель ВЛЭК ГА, медицинский эксперт - председатель ЦВЛЭК ГА обобщает результаты освидетельствования, оформляет и подписывает протокол обязательного медицинского освидетельствования ВЛЭК ГА (ЦВЛЭК ГА) в двух экземплярах (в медицинскую карту авиационного персонала и в личное медицинское дело).</w:t>
      </w:r>
    </w:p>
    <w:p>
      <w:pPr>
        <w:pStyle w:val="0"/>
        <w:spacing w:before="200" w:line-rule="auto"/>
        <w:ind w:firstLine="540"/>
        <w:jc w:val="both"/>
      </w:pPr>
      <w:r>
        <w:rPr>
          <w:sz w:val="20"/>
        </w:rPr>
        <w:t xml:space="preserve">Результаты стационарного медицинского обследования оформляются в виде выписки из истории болезни, которая прилагается к личному делу.</w:t>
      </w:r>
    </w:p>
    <w:p>
      <w:pPr>
        <w:pStyle w:val="0"/>
        <w:spacing w:before="200" w:line-rule="auto"/>
        <w:ind w:firstLine="540"/>
        <w:jc w:val="both"/>
      </w:pPr>
      <w:r>
        <w:rPr>
          <w:sz w:val="20"/>
        </w:rPr>
        <w:t xml:space="preserve">Медицинское заключение и рекомендации выносятся на рассмотрение на заседании ВЛЭК ГА (ЦВЛЭК ГА), протокол которого оформляется в журнале протоколов (рекомендуемый образец приведен в </w:t>
      </w:r>
      <w:hyperlink w:history="0" w:anchor="P4052" w:tooltip="                   ЖУРНАЛ ПРОТОКОЛОВ ВЛЭК ГА (ЦВЛЭК ГА)">
        <w:r>
          <w:rPr>
            <w:sz w:val="20"/>
            <w:color w:val="0000ff"/>
          </w:rPr>
          <w:t xml:space="preserve">приложении N 8</w:t>
        </w:r>
      </w:hyperlink>
      <w:r>
        <w:rPr>
          <w:sz w:val="20"/>
        </w:rPr>
        <w:t xml:space="preserve"> к настоящему Порядку), подписывается председателем, всеми членами и заверяется печатью ВЛЭК ГА (ЦВЛЭК ГА). На абитуриентов, поступающих в учебные заведения гражданской авиации по подготовке пилотов, штурманов, бортинженеров и диспетчеров УВД, ведется отдельный журнал протоколов (в журнале делается отметка о наименовании учебного заведения гражданской авиации).</w:t>
      </w:r>
    </w:p>
    <w:p>
      <w:pPr>
        <w:pStyle w:val="0"/>
        <w:jc w:val="both"/>
      </w:pPr>
      <w:r>
        <w:rPr>
          <w:sz w:val="20"/>
        </w:rPr>
        <w:t xml:space="preserve">(в ред. </w:t>
      </w:r>
      <w:hyperlink w:history="0" r:id="rId5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22.3. При соответствии состояния здоровья кандидата на получение медицинского заключения требованиям, установленным </w:t>
      </w:r>
      <w:hyperlink w:history="0" w:anchor="P794" w:tooltip="ТРЕБОВАНИЯ">
        <w:r>
          <w:rPr>
            <w:sz w:val="20"/>
            <w:color w:val="0000ff"/>
          </w:rPr>
          <w:t xml:space="preserve">приложениями N 4</w:t>
        </w:r>
      </w:hyperlink>
      <w:r>
        <w:rPr>
          <w:sz w:val="20"/>
        </w:rPr>
        <w:t xml:space="preserve"> - </w:t>
      </w:r>
      <w:hyperlink w:history="0" w:anchor="P2505" w:tooltip="ТРЕБОВАНИЯ">
        <w:r>
          <w:rPr>
            <w:sz w:val="20"/>
            <w:color w:val="0000ff"/>
          </w:rPr>
          <w:t xml:space="preserve">N 6</w:t>
        </w:r>
      </w:hyperlink>
      <w:r>
        <w:rPr>
          <w:sz w:val="20"/>
        </w:rPr>
        <w:t xml:space="preserve"> к настоящему Порядку, по результатам обязательного медицинского освидетельствования ВЛЭК ГА (ЦВЛЭК ГА) выносит медицинское заключение.</w:t>
      </w:r>
    </w:p>
    <w:p>
      <w:pPr>
        <w:pStyle w:val="0"/>
        <w:spacing w:before="200" w:line-rule="auto"/>
        <w:ind w:firstLine="540"/>
        <w:jc w:val="both"/>
      </w:pPr>
      <w:r>
        <w:rPr>
          <w:sz w:val="20"/>
        </w:rPr>
        <w:t xml:space="preserve">При выявлении в процессе обязательного медицинского освидетельствования медицинских показаний для оказания медицинской помощи кандидату на получение медицинского заключения 1, 2, 3 классов ВЛЭК ГА (ЦВЛЭК ГА) выносит заключение, содержащее вывод о том, что кандидат на получение медицинского заключения нуждается в оказании медицинской помощи с последующим медицинским освидетельствованием, оформляет и выдает кандидату на получение медицинского заключения справку лично с указанием срока повторного медицинского освидетельствования (рекомендуемый образец справки приведен в </w:t>
      </w:r>
      <w:hyperlink w:history="0" w:anchor="P4089" w:tooltip="                        Справка ВЛЭК ГА (ЦВЛЭК ГА)">
        <w:r>
          <w:rPr>
            <w:sz w:val="20"/>
            <w:color w:val="0000ff"/>
          </w:rPr>
          <w:t xml:space="preserve">приложении N 9</w:t>
        </w:r>
      </w:hyperlink>
      <w:r>
        <w:rPr>
          <w:sz w:val="20"/>
        </w:rPr>
        <w:t xml:space="preserve"> к настоящему Порядку).</w:t>
      </w:r>
    </w:p>
    <w:p>
      <w:pPr>
        <w:pStyle w:val="0"/>
        <w:jc w:val="both"/>
      </w:pPr>
      <w:r>
        <w:rPr>
          <w:sz w:val="20"/>
        </w:rPr>
        <w:t xml:space="preserve">(п. 22.3 в ред. </w:t>
      </w:r>
      <w:hyperlink w:history="0" r:id="rId5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22.4. При соответствии состояния здоровья кандидата на получение медицинского заключения установленным требованиям оформляется медицинское заключение, копия которого в течение 2 рабочих дней по электронным каналам связи передается в уполномоченный орган в области гражданской авиации.</w:t>
      </w:r>
    </w:p>
    <w:p>
      <w:pPr>
        <w:pStyle w:val="0"/>
        <w:spacing w:before="200" w:line-rule="auto"/>
        <w:ind w:firstLine="540"/>
        <w:jc w:val="both"/>
      </w:pPr>
      <w:r>
        <w:rPr>
          <w:sz w:val="20"/>
        </w:rPr>
        <w:t xml:space="preserve">22.5. При несоответствии состояния здоровья кандидата на получение медицинского заключения установленным требованиям ему выносится заключение о негодности кандидата на получение медицинского заключения к выполнению работ и функций, предусмотренных соответствующим свидетельством, и выдаются справка ВЛЭК ГА (ЦВЛЭК ГА) об обязательном медицинском освидетельствовании и извещение об отказе в выдаче медицинского заключения (рекомендуемый образец приведен в </w:t>
      </w:r>
      <w:hyperlink w:history="0" w:anchor="P4089" w:tooltip="                        Справка ВЛЭК ГА (ЦВЛЭК ГА)">
        <w:r>
          <w:rPr>
            <w:sz w:val="20"/>
            <w:color w:val="0000ff"/>
          </w:rPr>
          <w:t xml:space="preserve">приложении N 9</w:t>
        </w:r>
      </w:hyperlink>
      <w:r>
        <w:rPr>
          <w:sz w:val="20"/>
        </w:rPr>
        <w:t xml:space="preserve"> к настоящему Порядку). Справка ВЛЭК ГА (ЦВЛЭК ГА) об обязательном медицинском освидетельствовании, извещение об отказе в выдаче медицинского заключения в течение 2 рабочих дней по электронным каналам связи передаются в уполномоченный орган в области гражданской авиации.</w:t>
      </w:r>
    </w:p>
    <w:p>
      <w:pPr>
        <w:pStyle w:val="0"/>
        <w:jc w:val="both"/>
      </w:pPr>
      <w:r>
        <w:rPr>
          <w:sz w:val="20"/>
        </w:rPr>
        <w:t xml:space="preserve">(в ред. </w:t>
      </w:r>
      <w:hyperlink w:history="0" r:id="rId5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Если у кандидата на получение медицинского заключения одним из врачей-специалистов ВЛЭК ГА установлено заболевание (дефект), препятствующее выполнению функций, предусмотренных соответствующим свидетельством, кандидат на получение медицинского заключения может отказаться от дальнейшего обследования и медицинского освидетельствования. В этом случае ВЛЭК ГА выносит заключение о негодности кандидата на получение медицинского заключения к выполнению работ и функций, предусмотренных свидетельством.</w:t>
      </w:r>
    </w:p>
    <w:p>
      <w:pPr>
        <w:pStyle w:val="0"/>
        <w:jc w:val="both"/>
      </w:pPr>
      <w:r>
        <w:rPr>
          <w:sz w:val="20"/>
        </w:rPr>
        <w:t xml:space="preserve">(абзац введен </w:t>
      </w:r>
      <w:hyperlink w:history="0" r:id="rId5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22.6. В сложных экспертных случаях медицинская документация направляется на рассмотрение ЦВЛЭК ГА, в том числе посредством передачи по защищенным каналам связи, исключающим возможность несанкционированного доступа к информации третьих лиц, с соблюдением требований законодательства Российской Федерации о защите персональных данных.</w:t>
      </w:r>
    </w:p>
    <w:p>
      <w:pPr>
        <w:pStyle w:val="0"/>
        <w:spacing w:before="200" w:line-rule="auto"/>
        <w:ind w:firstLine="540"/>
        <w:jc w:val="both"/>
      </w:pPr>
      <w:r>
        <w:rPr>
          <w:sz w:val="20"/>
        </w:rPr>
        <w:t xml:space="preserve">ЦВЛЭК ГА проводит консультации врачей-специалистов и председателей - медицинских экспертов ВЛЭК ГА с использованием телемедицинских технологий в течение 24 часов со дня получения документа.</w:t>
      </w:r>
    </w:p>
    <w:p>
      <w:pPr>
        <w:pStyle w:val="0"/>
        <w:spacing w:before="200" w:line-rule="auto"/>
        <w:ind w:firstLine="540"/>
        <w:jc w:val="both"/>
      </w:pPr>
      <w:r>
        <w:rPr>
          <w:sz w:val="20"/>
        </w:rPr>
        <w:t xml:space="preserve">Направление кандидата на получение медицинского заключения на консультацию в ЦВЛЭК ГА осуществляется председателем - медицинским экспертом ВЛЭК ГА по предварительному согласованию с медицинским экспертом ЦВЛЭК ГА (рекомендуемый образец приведен в </w:t>
      </w:r>
      <w:hyperlink w:history="0" w:anchor="P4144" w:tooltip="                                НАПРАВЛЕНИЕ">
        <w:r>
          <w:rPr>
            <w:sz w:val="20"/>
            <w:color w:val="0000ff"/>
          </w:rPr>
          <w:t xml:space="preserve">приложении N 10</w:t>
        </w:r>
      </w:hyperlink>
      <w:r>
        <w:rPr>
          <w:sz w:val="20"/>
        </w:rPr>
        <w:t xml:space="preserve"> к настоящему Порядку).</w:t>
      </w:r>
    </w:p>
    <w:p>
      <w:pPr>
        <w:pStyle w:val="0"/>
        <w:spacing w:before="200" w:line-rule="auto"/>
        <w:ind w:firstLine="540"/>
        <w:jc w:val="both"/>
      </w:pPr>
      <w:r>
        <w:rPr>
          <w:sz w:val="20"/>
        </w:rPr>
        <w:t xml:space="preserve">22.7. ЦВЛЭК ГА утверждает следующие заключения ВЛЭК ГА:</w:t>
      </w:r>
    </w:p>
    <w:p>
      <w:pPr>
        <w:pStyle w:val="0"/>
        <w:spacing w:before="200" w:line-rule="auto"/>
        <w:ind w:firstLine="540"/>
        <w:jc w:val="both"/>
      </w:pPr>
      <w:r>
        <w:rPr>
          <w:sz w:val="20"/>
        </w:rPr>
        <w:t xml:space="preserve">не годен к выполнению функций пилота (1 класс медицинского заключения);</w:t>
      </w:r>
    </w:p>
    <w:p>
      <w:pPr>
        <w:pStyle w:val="0"/>
        <w:spacing w:before="200" w:line-rule="auto"/>
        <w:ind w:firstLine="540"/>
        <w:jc w:val="both"/>
      </w:pPr>
      <w:r>
        <w:rPr>
          <w:sz w:val="20"/>
        </w:rPr>
        <w:t xml:space="preserve">годен к выполнению функций пилота (при восстановлении пилотов, ранее признанных не годными к летной работе по 1 классу медицинского заключения).</w:t>
      </w:r>
    </w:p>
    <w:p>
      <w:pPr>
        <w:pStyle w:val="0"/>
        <w:spacing w:before="200" w:line-rule="auto"/>
        <w:ind w:firstLine="540"/>
        <w:jc w:val="both"/>
      </w:pPr>
      <w:r>
        <w:rPr>
          <w:sz w:val="20"/>
        </w:rPr>
        <w:t xml:space="preserve">ВЛЭК ГА не позднее чем через 5 дней с момента вынесения медицинского заключения направляет ЦВЛЭК ГА протокол об обязательном медицинском освидетельствовании. ЦВЛЭК ГА в течение 3 дней после получения протокола выносит окончательное медицинское заключение.</w:t>
      </w:r>
    </w:p>
    <w:p>
      <w:pPr>
        <w:pStyle w:val="0"/>
        <w:spacing w:before="200" w:line-rule="auto"/>
        <w:ind w:firstLine="540"/>
        <w:jc w:val="both"/>
      </w:pPr>
      <w:r>
        <w:rPr>
          <w:sz w:val="20"/>
        </w:rPr>
        <w:t xml:space="preserve">При несогласии с заключением, вынесенным ВЛЭК ГА, ЦВЛЭК ГА имеет право осмотреть кандидата на получение медицинского заключения с вынесением окончательного медицинского заключения.</w:t>
      </w:r>
    </w:p>
    <w:p>
      <w:pPr>
        <w:pStyle w:val="0"/>
        <w:spacing w:before="200" w:line-rule="auto"/>
        <w:ind w:firstLine="540"/>
        <w:jc w:val="both"/>
      </w:pPr>
      <w:r>
        <w:rPr>
          <w:sz w:val="20"/>
        </w:rPr>
        <w:t xml:space="preserve">23. При первичном выявлении несоответствия здоровья кандидата на получение медицинского заключения установленным требованиям ВЛЭК ГА обосновывает (с привлечением специалистов по производству полетов, диспетчеров УВД), что несоответствие здоровья кандидата на получение медицинского заключения медицинским требованиям не представляет угрозы для безопасности полетов, и направляет его в ЦВЛЭК ГА с целью принятия решения о вынесении официального медицинского заключения.</w:t>
      </w:r>
    </w:p>
    <w:p>
      <w:pPr>
        <w:pStyle w:val="0"/>
        <w:spacing w:before="200" w:line-rule="auto"/>
        <w:ind w:firstLine="540"/>
        <w:jc w:val="both"/>
      </w:pPr>
      <w:r>
        <w:rPr>
          <w:sz w:val="20"/>
        </w:rPr>
        <w:t xml:space="preserve">В официальном медицинском заключении:</w:t>
      </w:r>
    </w:p>
    <w:p>
      <w:pPr>
        <w:pStyle w:val="0"/>
        <w:spacing w:before="200" w:line-rule="auto"/>
        <w:ind w:firstLine="540"/>
        <w:jc w:val="both"/>
      </w:pPr>
      <w:r>
        <w:rPr>
          <w:sz w:val="20"/>
        </w:rPr>
        <w:t xml:space="preserve">указывается, что в определенных обстоятельствах несоответствие здоровья кандидата на получение медицинского заключения требованиям к состоянию здоровья не угрожает безопасности полетов;</w:t>
      </w:r>
    </w:p>
    <w:p>
      <w:pPr>
        <w:pStyle w:val="0"/>
        <w:spacing w:before="200" w:line-rule="auto"/>
        <w:ind w:firstLine="540"/>
        <w:jc w:val="both"/>
      </w:pPr>
      <w:r>
        <w:rPr>
          <w:sz w:val="20"/>
        </w:rPr>
        <w:t xml:space="preserve">учитываются соответствующие способности, квалификация и опыт кандидата на получение медицинского заключения, а также условия его работы (на основании характеристики с места работы);</w:t>
      </w:r>
    </w:p>
    <w:p>
      <w:pPr>
        <w:pStyle w:val="0"/>
        <w:spacing w:before="200" w:line-rule="auto"/>
        <w:ind w:firstLine="540"/>
        <w:jc w:val="both"/>
      </w:pPr>
      <w:r>
        <w:rPr>
          <w:sz w:val="20"/>
        </w:rPr>
        <w:t xml:space="preserve">делается отметка о любом специальном ограничении или ограничениях в тех случаях, когда обеспечение безопасности полетов обладателем свидетельства зависит от соблюдения такого ограничения или ограничений.</w:t>
      </w:r>
    </w:p>
    <w:p>
      <w:pPr>
        <w:pStyle w:val="0"/>
        <w:spacing w:before="200" w:line-rule="auto"/>
        <w:ind w:firstLine="540"/>
        <w:jc w:val="both"/>
      </w:pPr>
      <w:r>
        <w:rPr>
          <w:sz w:val="20"/>
        </w:rPr>
        <w:t xml:space="preserve">23.1. Очередное освидетельствование обладателя официального медицинского заключения проводится ЦВЛЭК ГА.</w:t>
      </w:r>
    </w:p>
    <w:p>
      <w:pPr>
        <w:pStyle w:val="0"/>
        <w:spacing w:before="200" w:line-rule="auto"/>
        <w:ind w:firstLine="540"/>
        <w:jc w:val="both"/>
      </w:pPr>
      <w:r>
        <w:rPr>
          <w:sz w:val="20"/>
        </w:rPr>
        <w:t xml:space="preserve">24. В случае когда принятие решения о годности возможно при установлении ограничения, медицинский эксперт - председатель ВЛЭК ГА (ЦВЛЭК ГА) оценивает состояние здоровья кандидата на получение медицинского заключения, его способности, навыки, опыт, виды полетов, условия деятельности и степень сохранности функциональных резервов его организма.</w:t>
      </w:r>
    </w:p>
    <w:p>
      <w:pPr>
        <w:pStyle w:val="0"/>
        <w:spacing w:before="200" w:line-rule="auto"/>
        <w:ind w:firstLine="540"/>
        <w:jc w:val="both"/>
      </w:pPr>
      <w:r>
        <w:rPr>
          <w:sz w:val="20"/>
        </w:rPr>
        <w:t xml:space="preserve">25. Ограничения устанавливаются ВЛЭК ГА и ЦВЛЭК ГА при неполном соответствии здоровья кандидата на получение медицинского заключения медицинским требованиям, установленным настоящим Порядком, при условии, что данное состояние его здоровья не ставит под угрозу безопасность полетов.</w:t>
      </w:r>
    </w:p>
    <w:p>
      <w:pPr>
        <w:pStyle w:val="0"/>
        <w:spacing w:before="200" w:line-rule="auto"/>
        <w:ind w:firstLine="540"/>
        <w:jc w:val="both"/>
      </w:pPr>
      <w:r>
        <w:rPr>
          <w:sz w:val="20"/>
        </w:rPr>
        <w:t xml:space="preserve">Информация об ограничениях вносится в раздел "Особые отметки" медицинского заключения (на оборотной стороне документа).</w:t>
      </w:r>
    </w:p>
    <w:p>
      <w:pPr>
        <w:pStyle w:val="0"/>
        <w:spacing w:before="200" w:line-rule="auto"/>
        <w:ind w:firstLine="540"/>
        <w:jc w:val="both"/>
      </w:pPr>
      <w:r>
        <w:rPr>
          <w:sz w:val="20"/>
        </w:rPr>
        <w:t xml:space="preserve">ВЛЭК ГА и ЦВЭК ГА руководствуется следующими ограничениями:</w:t>
      </w:r>
    </w:p>
    <w:p>
      <w:pPr>
        <w:pStyle w:val="0"/>
        <w:spacing w:before="200" w:line-rule="auto"/>
        <w:ind w:firstLine="540"/>
        <w:jc w:val="both"/>
      </w:pPr>
      <w:r>
        <w:rPr>
          <w:sz w:val="20"/>
        </w:rPr>
        <w:t xml:space="preserve">действительно при коррекции зрения с помощью контактных линз (CCL);</w:t>
      </w:r>
    </w:p>
    <w:p>
      <w:pPr>
        <w:pStyle w:val="0"/>
        <w:jc w:val="both"/>
      </w:pPr>
      <w:r>
        <w:rPr>
          <w:sz w:val="20"/>
        </w:rPr>
        <w:t xml:space="preserve">(в ред. </w:t>
      </w:r>
      <w:hyperlink w:history="0" r:id="rId5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ношение корректирующих линз и наличие запасной пары очков (коррекция нарушения зрения для дальнего расстояния: при осуществлении прав и обязанностей, предусмотренных соответствующим свидетельством, обладатель свидетельства должен носить очки или контактные линзы, корректирующие нарушение зрения для дальнего расстояния, подтвержденное данными обязательного медицинского освидетельствования, и согласованные для использования ВЛЭК ГА, ЦВЛЭК ГА; использование контактных линз должно быть разрешено ВЛЭК ГА, ЦВЛЭК ГА; при использовании контактных линз в наличии должна быть запасная пара очков, прописанных ВЛЭК ГА, ЦВЛЭК ГА (далее - VDL);</w:t>
      </w:r>
    </w:p>
    <w:p>
      <w:pPr>
        <w:pStyle w:val="0"/>
        <w:spacing w:before="200" w:line-rule="auto"/>
        <w:ind w:firstLine="540"/>
        <w:jc w:val="both"/>
      </w:pPr>
      <w:r>
        <w:rPr>
          <w:sz w:val="20"/>
        </w:rPr>
        <w:t xml:space="preserve">ношение многофокальных очков и наличие запасной пары очков (коррекция нарушения зрения для дальнего, среднего и ближнего расстояний: при осуществлении прав и обязанностей, предусмотренных соответствующим свидетельством, обладатель свидетельства должен носить очки или контактные линзы, корректирующие нарушение зрения для дальнего, среднего и ближнего расстояний, подтвержденное данными медицинского освидетельствования, и согласованные для использования ВЛЭК ГА, ЦВЛЭК ГА; контактные линзы и очки с цельной оправой, корректирующие зрение только на ближнее расстояние, не могут использоваться) (далее - VML);</w:t>
      </w:r>
    </w:p>
    <w:p>
      <w:pPr>
        <w:pStyle w:val="0"/>
        <w:spacing w:before="200" w:line-rule="auto"/>
        <w:ind w:firstLine="540"/>
        <w:jc w:val="both"/>
      </w:pPr>
      <w:r>
        <w:rPr>
          <w:sz w:val="20"/>
        </w:rPr>
        <w:t xml:space="preserve">иметь при себе корректирующие зрение очки и запасную пару очков (коррекция нарушения зрения для близкого расстояния: при осуществлении прав и обязанностей, предусмотренных соответствующим свидетельством, обладатель свидетельства должен иметь в непосредственной доступности очки или контактные линзы, корректирующие нарушение зрения для близкого расстояния, подтвержденное данными медицинского освидетельствования, и согласованные для использования ВЛЭК ГА, ЦВЛЭК ГА) (далее - VNL);</w:t>
      </w:r>
    </w:p>
    <w:p>
      <w:pPr>
        <w:pStyle w:val="0"/>
        <w:spacing w:before="200" w:line-rule="auto"/>
        <w:ind w:firstLine="540"/>
        <w:jc w:val="both"/>
      </w:pPr>
      <w:r>
        <w:rPr>
          <w:sz w:val="20"/>
        </w:rPr>
        <w:t xml:space="preserve">действительно для полетов только в дневное время (ограничение дает разрешение частным пилотам с различной степенью нарушения цветовосприятия осуществлять обязанности, предусмотренные соответствующим свидетельством, только в дневное время; применяется только для медицинского заключения 2 класса) (далее - VCL);</w:t>
      </w:r>
    </w:p>
    <w:p>
      <w:pPr>
        <w:pStyle w:val="0"/>
        <w:spacing w:before="200" w:line-rule="auto"/>
        <w:ind w:firstLine="540"/>
        <w:jc w:val="both"/>
      </w:pPr>
      <w:r>
        <w:rPr>
          <w:sz w:val="20"/>
        </w:rPr>
        <w:t xml:space="preserve">ограничение срока действия медицинского заключения: срок действия медицинского заключения ограничивается на период, указанный в заключении. Период действия начинается с даты прохождения медицинского освидетельствования. Период, оставшийся от действия предыдущего медицинского заключения, более не действителен. Обладатель медицинского заключения должен проходить следующее медицинское освидетельствование, как предписано, и следовать всем медицинским рекомендациям (далее - TML);</w:t>
      </w:r>
    </w:p>
    <w:p>
      <w:pPr>
        <w:pStyle w:val="0"/>
        <w:spacing w:before="200" w:line-rule="auto"/>
        <w:ind w:firstLine="540"/>
        <w:jc w:val="both"/>
      </w:pPr>
      <w:r>
        <w:rPr>
          <w:sz w:val="20"/>
        </w:rPr>
        <w:t xml:space="preserve">применимо к членам летного экипажа, которые не соответствуют требованиям для пилотов, осуществляющих эксплуатацию воздушных судов, управляемых одночленным экипажем, но соответствуют требованиям для пилотов, осуществляющих эксплуатацию воздушных судов, управляемых многочленным экипажем. Применяется только для медицинского заключения 1 класса (далее - OML);</w:t>
      </w:r>
    </w:p>
    <w:p>
      <w:pPr>
        <w:pStyle w:val="0"/>
        <w:spacing w:before="200" w:line-rule="auto"/>
        <w:ind w:firstLine="540"/>
        <w:jc w:val="both"/>
      </w:pPr>
      <w:r>
        <w:rPr>
          <w:sz w:val="20"/>
        </w:rPr>
        <w:t xml:space="preserve">годен только как второй пилот. Данное ограничение применяется в случаях, когда по определенным медицинским основаниям здоровье пилота оценивается как не представляющее угрозу безопасности полетов. При выполнении полетов кандидат на получение медицинского заключения может управлять воздушным судном как второй пилот, но не как командир воздушного судна. Применяется только для медицинского заключения 1 класса (далее - OCL);</w:t>
      </w:r>
    </w:p>
    <w:p>
      <w:pPr>
        <w:pStyle w:val="0"/>
        <w:spacing w:before="200" w:line-rule="auto"/>
        <w:ind w:firstLine="540"/>
        <w:jc w:val="both"/>
      </w:pPr>
      <w:r>
        <w:rPr>
          <w:sz w:val="20"/>
        </w:rPr>
        <w:t xml:space="preserve">годен только для демонстрируемого типа воздушного судна: данное ограничение относится к пилотам с повреждением/отсутствием конечности или другим анатомическим недостатком, приемлемость которого для выполнения полетов была подтверждена медицинским летным тестом или полетом на тренажере, и требуется указать ограничение для полетов на определенном типе воздушного судна. Применяется только для частных пилотов, пилотов сверхлегкой авиации, пилотов планера и свободного аэростата (далее - OAL);</w:t>
      </w:r>
    </w:p>
    <w:p>
      <w:pPr>
        <w:pStyle w:val="0"/>
        <w:spacing w:before="200" w:line-rule="auto"/>
        <w:ind w:firstLine="540"/>
        <w:jc w:val="both"/>
      </w:pPr>
      <w:r>
        <w:rPr>
          <w:sz w:val="20"/>
        </w:rPr>
        <w:t xml:space="preserve">годен только для управления воздушным судном без пассажиров: применение данного ограничения рассматривается при наличии у пилота проблемы скелетно-мышечной системы или прочего заболевания, представляющего определенный минимальный риск для безопасности полетов, который является приемлемым для пилота, но неприемлемым для перевозки пассажиров. Применяется только для частных пилотов, пилотов сверхлегкой авиации, пилотов планера и свободного аэростата (далее - OPL);</w:t>
      </w:r>
    </w:p>
    <w:p>
      <w:pPr>
        <w:pStyle w:val="0"/>
        <w:spacing w:before="200" w:line-rule="auto"/>
        <w:ind w:firstLine="540"/>
        <w:jc w:val="both"/>
      </w:pPr>
      <w:r>
        <w:rPr>
          <w:sz w:val="20"/>
        </w:rPr>
        <w:t xml:space="preserve">Запрещается продление нормы полетного времени для лиц с нарушением слуха.</w:t>
      </w:r>
    </w:p>
    <w:p>
      <w:pPr>
        <w:pStyle w:val="0"/>
        <w:spacing w:before="200" w:line-rule="auto"/>
        <w:ind w:firstLine="540"/>
        <w:jc w:val="both"/>
      </w:pPr>
      <w:r>
        <w:rPr>
          <w:sz w:val="20"/>
        </w:rPr>
        <w:t xml:space="preserve">26. В случае несогласия с экспертным решением, принятым ВЛЭК ГА, кандидат на получение медицинского заключения может обратиться в ЦВЛЭК ГА для обжалования этого решения.</w:t>
      </w:r>
    </w:p>
    <w:p>
      <w:pPr>
        <w:pStyle w:val="0"/>
        <w:spacing w:before="200" w:line-rule="auto"/>
        <w:ind w:firstLine="540"/>
        <w:jc w:val="both"/>
      </w:pPr>
      <w:r>
        <w:rPr>
          <w:sz w:val="20"/>
        </w:rPr>
        <w:t xml:space="preserve">Экспертное решение ЦВЛЭК ГА обжалуется в порядке, предусмотренном законодательством Российской Федерации.</w:t>
      </w:r>
    </w:p>
    <w:p>
      <w:pPr>
        <w:pStyle w:val="0"/>
        <w:spacing w:before="200" w:line-rule="auto"/>
        <w:ind w:firstLine="540"/>
        <w:jc w:val="both"/>
      </w:pPr>
      <w:r>
        <w:rPr>
          <w:sz w:val="20"/>
        </w:rPr>
        <w:t xml:space="preserve">27. При проведении обязательного медицинского освидетельствования соблюдается принцип конфиденциальности медицинской информации.</w:t>
      </w:r>
    </w:p>
    <w:p>
      <w:pPr>
        <w:pStyle w:val="0"/>
        <w:spacing w:before="200" w:line-rule="auto"/>
        <w:ind w:firstLine="540"/>
        <w:jc w:val="both"/>
      </w:pPr>
      <w:r>
        <w:rPr>
          <w:sz w:val="20"/>
        </w:rPr>
        <w:t xml:space="preserve">28. После завершения первичного освидетельствования и признания кандидата на получение медицинского заключения годным по состоянию здоровья к исполнению функций авиационного персонала (обучению), на него формируется личное медицинское дело, включающее протокол его медицинского освидетельствования ВЛЭК ГА (ЦВЛЭК ГА), протоколы заключений врачей-специалистов, результаты лабораторных и инструментальных исследований, а также прочие документы, с учетом которых был установлен диагноз и выносилось решение о годности (негодности) к обучению и работе по состоянию здоровья.</w:t>
      </w:r>
    </w:p>
    <w:p>
      <w:pPr>
        <w:pStyle w:val="0"/>
        <w:spacing w:before="200" w:line-rule="auto"/>
        <w:ind w:firstLine="540"/>
        <w:jc w:val="both"/>
      </w:pPr>
      <w:r>
        <w:rPr>
          <w:sz w:val="20"/>
        </w:rPr>
        <w:t xml:space="preserve">Личное медицинское дело пополняется после каждого освидетельствования кандидата на получение медицинского заключения и хранится во ВЛЭК ГА (ЦВЛЭК ГА) не менее 50 лет (после окончания профессиональной деятельности обладателя свидетельства - не менее 10 лет).</w:t>
      </w:r>
    </w:p>
    <w:p>
      <w:pPr>
        <w:pStyle w:val="0"/>
        <w:spacing w:before="200" w:line-rule="auto"/>
        <w:ind w:firstLine="540"/>
        <w:jc w:val="both"/>
      </w:pPr>
      <w:r>
        <w:rPr>
          <w:sz w:val="20"/>
        </w:rPr>
        <w:t xml:space="preserve">29. Личное медицинское дело хранится по месту проведения обязательного медицинского освидетельствования в бумажном и электронном виде. В электронном варианте данные передаются в информационную базу "Паспорт здоровья авиационного персонала".</w:t>
      </w:r>
    </w:p>
    <w:p>
      <w:pPr>
        <w:pStyle w:val="0"/>
        <w:spacing w:before="200" w:line-rule="auto"/>
        <w:ind w:firstLine="540"/>
        <w:jc w:val="both"/>
      </w:pPr>
      <w:r>
        <w:rPr>
          <w:sz w:val="20"/>
        </w:rPr>
        <w:t xml:space="preserve">При необходимости передачи материалов личного дела на бумажном носителе оформляется заверенная копия, которая направляется по месту запроса в опечатанном виде.</w:t>
      </w:r>
    </w:p>
    <w:p>
      <w:pPr>
        <w:pStyle w:val="0"/>
        <w:spacing w:before="200" w:line-rule="auto"/>
        <w:ind w:firstLine="540"/>
        <w:jc w:val="both"/>
      </w:pPr>
      <w:r>
        <w:rPr>
          <w:sz w:val="20"/>
        </w:rPr>
        <w:t xml:space="preserve">30. При проведении первичного обязательного медицинского освидетельствования заполняется медицинская карта авиационного персонала (рекомендуемый образец приведен в </w:t>
      </w:r>
      <w:hyperlink w:history="0" w:anchor="P4192" w:tooltip="                 Медицинская карта авиационного персонала">
        <w:r>
          <w:rPr>
            <w:sz w:val="20"/>
            <w:color w:val="0000ff"/>
          </w:rPr>
          <w:t xml:space="preserve">приложении N 11</w:t>
        </w:r>
      </w:hyperlink>
      <w:r>
        <w:rPr>
          <w:sz w:val="20"/>
        </w:rPr>
        <w:t xml:space="preserve"> к настоящему Порядку) с фотографией, заверенной печатью ВЛЭК ГА (ЦВЛЭК ГА), в которую вносится также протокол обязательного медицинского освидетельствования ВЛЭК ГА (ЦВЛЭК ГА), предусмотренный </w:t>
      </w:r>
      <w:hyperlink w:history="0" w:anchor="P199" w:tooltip="22.2. По окончании обязательного медицинского освидетельствования кандидата на получение медицинского заключения медицинский эксперт - председатель ВЛЭК ГА, медицинский эксперт - председатель ЦВЛЭК ГА обобщает результаты освидетельствования, оформляет и подписывает протокол обязательного медицинского освидетельствования ВЛЭК ГА (ЦВЛЭК ГА) в двух экземплярах (в медицинскую карту авиационного персонала и в личное медицинское дело).">
        <w:r>
          <w:rPr>
            <w:sz w:val="20"/>
            <w:color w:val="0000ff"/>
          </w:rPr>
          <w:t xml:space="preserve">пунктом 22.2</w:t>
        </w:r>
      </w:hyperlink>
      <w:r>
        <w:rPr>
          <w:sz w:val="20"/>
        </w:rPr>
        <w:t xml:space="preserve"> настоящего Порядка. Медицинская карта ведется в бумажном или электронном виде врачом медицинской организации, осуществляющей медицинское наблюдение.</w:t>
      </w:r>
    </w:p>
    <w:p>
      <w:pPr>
        <w:pStyle w:val="0"/>
        <w:spacing w:before="200" w:line-rule="auto"/>
        <w:ind w:firstLine="540"/>
        <w:jc w:val="both"/>
      </w:pPr>
      <w:r>
        <w:rPr>
          <w:sz w:val="20"/>
        </w:rPr>
        <w:t xml:space="preserve">По завершении обязательного медицинского освидетельствования абитуриентов, признанных годными к обучению, копии медицинской документации (личное медицинское дело, медицинская карта), заверенные печатью ВЛЭК ГА, выдаются лично абитуриенту либо его уполномоченному представителю в опечатанном виде под личную подпись для передачи в приемную комиссию образовательной организации гражданской авиации, в которую зачислен абитуриент.</w:t>
      </w:r>
    </w:p>
    <w:p>
      <w:pPr>
        <w:pStyle w:val="0"/>
        <w:jc w:val="both"/>
      </w:pPr>
      <w:r>
        <w:rPr>
          <w:sz w:val="20"/>
        </w:rPr>
        <w:t xml:space="preserve">(абзац введен </w:t>
      </w:r>
      <w:hyperlink w:history="0" r:id="rId5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31. Копии медицинской документации (личное медицинское дело, медицинская карта) лицам, окончившим образовательную организацию, учебное заведение гражданской авиации, а также специалистам авиационного персонала при переводе в другие авиационные предприятия и их увольнении из организации гражданской авиации выдаются на руки в опечатанном виде под подпись в соответствии с порядком, установленным распорядительным документом медицинской организации, осуществлявшей освидетельствование и/или динамическое наблюдение/мониторинг состояния здоровья. При ведении медицинской документации только в электронном виде выдаются оформленная выписка за весь период наблюдения (в бумажном или электронном виде с заверением квалифицированной электронной подписью).</w:t>
      </w:r>
    </w:p>
    <w:p>
      <w:pPr>
        <w:pStyle w:val="0"/>
        <w:jc w:val="both"/>
      </w:pPr>
      <w:r>
        <w:rPr>
          <w:sz w:val="20"/>
        </w:rPr>
        <w:t xml:space="preserve">(в ред. </w:t>
      </w:r>
      <w:hyperlink w:history="0" r:id="rId5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32. По результатам медицинского освидетельствования за текущий год ВЛЭК ГА (ЦВЛЭК ГА) составляет заключительный акт по результатам медицинского освидетельствования членов летных экипажей воздушных судов, диспетчеров УВД (рекомендуемый образец приведен в </w:t>
      </w:r>
      <w:hyperlink w:history="0" w:anchor="P4761" w:tooltip="                            ЗАКЛЮЧИТЕЛЬНЫЙ АКТ">
        <w:r>
          <w:rPr>
            <w:sz w:val="20"/>
            <w:color w:val="0000ff"/>
          </w:rPr>
          <w:t xml:space="preserve">приложении N 12</w:t>
        </w:r>
      </w:hyperlink>
      <w:r>
        <w:rPr>
          <w:sz w:val="20"/>
        </w:rPr>
        <w:t xml:space="preserve"> к настоящему Порядку), который утверждается председателем - медицинским экспертом ВЛЭК ГА и направляется руководителю предприятия не позднее 10 февраля года, следующего за отчетным.</w:t>
      </w:r>
    </w:p>
    <w:p>
      <w:pPr>
        <w:pStyle w:val="0"/>
        <w:spacing w:before="200" w:line-rule="auto"/>
        <w:ind w:firstLine="540"/>
        <w:jc w:val="both"/>
      </w:pPr>
      <w:r>
        <w:rPr>
          <w:sz w:val="20"/>
        </w:rPr>
        <w:t xml:space="preserve">33. Порядок создания и работы ВЛЭК ГА и ЦВЛЭК ГА, требования к квалификации их членов установлены </w:t>
      </w:r>
      <w:hyperlink w:history="0" w:anchor="P4796" w:tooltip="ПОРЯДОК">
        <w:r>
          <w:rPr>
            <w:sz w:val="20"/>
            <w:color w:val="0000ff"/>
          </w:rPr>
          <w:t xml:space="preserve">приложениями N 13</w:t>
        </w:r>
      </w:hyperlink>
      <w:r>
        <w:rPr>
          <w:sz w:val="20"/>
        </w:rPr>
        <w:t xml:space="preserve">, </w:t>
      </w:r>
      <w:hyperlink w:history="0" w:anchor="P4930" w:tooltip="ТРЕБОВАНИЯ">
        <w:r>
          <w:rPr>
            <w:sz w:val="20"/>
            <w:color w:val="0000ff"/>
          </w:rPr>
          <w:t xml:space="preserve">14</w:t>
        </w:r>
      </w:hyperlink>
      <w:r>
        <w:rPr>
          <w:sz w:val="20"/>
        </w:rPr>
        <w:t xml:space="preserve"> к настоящему Порядку.</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5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1"/>
        <w:jc w:val="both"/>
      </w:pPr>
      <w:r>
        <w:rPr>
          <w:sz w:val="20"/>
        </w:rPr>
        <w:t xml:space="preserve">Российская Федерация</w:t>
      </w:r>
    </w:p>
    <w:p>
      <w:pPr>
        <w:pStyle w:val="1"/>
        <w:jc w:val="both"/>
      </w:pPr>
      <w:r>
        <w:rPr>
          <w:sz w:val="20"/>
        </w:rPr>
        <w:t xml:space="preserve">(Russian Federation)</w:t>
      </w:r>
    </w:p>
    <w:p>
      <w:pPr>
        <w:pStyle w:val="1"/>
        <w:jc w:val="both"/>
      </w:pPr>
      <w:r>
        <w:rPr>
          <w:sz w:val="20"/>
        </w:rPr>
      </w:r>
    </w:p>
    <w:p>
      <w:pPr>
        <w:pStyle w:val="1"/>
        <w:jc w:val="both"/>
      </w:pPr>
      <w:r>
        <w:rPr>
          <w:sz w:val="20"/>
        </w:rPr>
        <w:t xml:space="preserve">               Министерство транспорта Российской Федерации</w:t>
      </w:r>
    </w:p>
    <w:p>
      <w:pPr>
        <w:pStyle w:val="1"/>
        <w:jc w:val="both"/>
      </w:pPr>
      <w:r>
        <w:rPr>
          <w:sz w:val="20"/>
        </w:rPr>
        <w:t xml:space="preserve">                Федеральное агентство воздушного транспорта</w:t>
      </w:r>
    </w:p>
    <w:p>
      <w:pPr>
        <w:pStyle w:val="1"/>
        <w:jc w:val="both"/>
      </w:pPr>
      <w:r>
        <w:rPr>
          <w:sz w:val="20"/>
        </w:rPr>
        <w:t xml:space="preserve">                      (Federal Air Transport Agency)</w:t>
      </w:r>
    </w:p>
    <w:p>
      <w:pPr>
        <w:pStyle w:val="1"/>
        <w:jc w:val="both"/>
      </w:pPr>
      <w:r>
        <w:rPr>
          <w:sz w:val="20"/>
        </w:rPr>
      </w:r>
    </w:p>
    <w:p>
      <w:pPr>
        <w:pStyle w:val="1"/>
        <w:jc w:val="both"/>
      </w:pPr>
      <w:r>
        <w:rPr>
          <w:sz w:val="20"/>
        </w:rPr>
        <w:t xml:space="preserve">                             Серия AAN 0000000</w:t>
      </w:r>
    </w:p>
    <w:p>
      <w:pPr>
        <w:pStyle w:val="1"/>
        <w:jc w:val="both"/>
      </w:pPr>
      <w:r>
        <w:rPr>
          <w:sz w:val="20"/>
        </w:rPr>
      </w:r>
    </w:p>
    <w:p>
      <w:pPr>
        <w:pStyle w:val="1"/>
        <w:jc w:val="both"/>
      </w:pPr>
      <w:r>
        <w:rPr>
          <w:sz w:val="20"/>
        </w:rPr>
        <w:t xml:space="preserve">Форма бланка</w:t>
      </w:r>
    </w:p>
    <w:p>
      <w:pPr>
        <w:pStyle w:val="1"/>
        <w:jc w:val="both"/>
      </w:pPr>
      <w:r>
        <w:rPr>
          <w:sz w:val="20"/>
        </w:rPr>
      </w:r>
    </w:p>
    <w:bookmarkStart w:id="278" w:name="P278"/>
    <w:bookmarkEnd w:id="278"/>
    <w:p>
      <w:pPr>
        <w:pStyle w:val="1"/>
        <w:jc w:val="both"/>
      </w:pPr>
      <w:r>
        <w:rPr>
          <w:sz w:val="20"/>
        </w:rPr>
        <w:t xml:space="preserve">                   МЕДИЦИНСКОЕ ЗАКЛЮЧЕНИЕ _______ класса</w:t>
      </w:r>
    </w:p>
    <w:p>
      <w:pPr>
        <w:pStyle w:val="1"/>
        <w:jc w:val="both"/>
      </w:pPr>
      <w:r>
        <w:rPr>
          <w:sz w:val="20"/>
        </w:rPr>
        <w:t xml:space="preserve">                       Medical Conclusion ____ class</w:t>
      </w:r>
    </w:p>
    <w:p>
      <w:pPr>
        <w:pStyle w:val="1"/>
        <w:jc w:val="both"/>
      </w:pPr>
      <w:r>
        <w:rPr>
          <w:sz w:val="20"/>
        </w:rPr>
      </w:r>
    </w:p>
    <w:p>
      <w:pPr>
        <w:pStyle w:val="1"/>
        <w:jc w:val="both"/>
      </w:pPr>
      <w:r>
        <w:rPr>
          <w:sz w:val="20"/>
        </w:rPr>
        <w:t xml:space="preserve">группа крови ______________                        резус-фактор ___________</w:t>
      </w:r>
    </w:p>
    <w:p>
      <w:pPr>
        <w:pStyle w:val="1"/>
        <w:jc w:val="both"/>
      </w:pPr>
      <w:r>
        <w:rPr>
          <w:sz w:val="20"/>
        </w:rPr>
      </w:r>
    </w:p>
    <w:p>
      <w:pPr>
        <w:pStyle w:val="1"/>
        <w:jc w:val="both"/>
      </w:pPr>
      <w:r>
        <w:rPr>
          <w:sz w:val="20"/>
        </w:rPr>
        <w:t xml:space="preserve">Фамилия ___________________________________________________________________</w:t>
      </w:r>
    </w:p>
    <w:p>
      <w:pPr>
        <w:pStyle w:val="1"/>
        <w:jc w:val="both"/>
      </w:pPr>
      <w:r>
        <w:rPr>
          <w:sz w:val="20"/>
        </w:rPr>
        <w:t xml:space="preserve">Surname</w:t>
      </w:r>
    </w:p>
    <w:p>
      <w:pPr>
        <w:pStyle w:val="1"/>
        <w:jc w:val="both"/>
      </w:pPr>
      <w:r>
        <w:rPr>
          <w:sz w:val="20"/>
        </w:rPr>
      </w:r>
    </w:p>
    <w:p>
      <w:pPr>
        <w:pStyle w:val="1"/>
        <w:jc w:val="both"/>
      </w:pPr>
      <w:r>
        <w:rPr>
          <w:sz w:val="20"/>
        </w:rPr>
        <w:t xml:space="preserve">Имя ______________________         Отчество (при наличии) _________________</w:t>
      </w:r>
    </w:p>
    <w:p>
      <w:pPr>
        <w:pStyle w:val="1"/>
        <w:jc w:val="both"/>
      </w:pPr>
      <w:r>
        <w:rPr>
          <w:sz w:val="20"/>
        </w:rPr>
        <w:t xml:space="preserve">Name</w:t>
      </w:r>
    </w:p>
    <w:p>
      <w:pPr>
        <w:pStyle w:val="1"/>
        <w:jc w:val="both"/>
      </w:pPr>
      <w:r>
        <w:rPr>
          <w:sz w:val="20"/>
        </w:rPr>
      </w:r>
    </w:p>
    <w:p>
      <w:pPr>
        <w:pStyle w:val="1"/>
        <w:jc w:val="both"/>
      </w:pPr>
      <w:r>
        <w:rPr>
          <w:sz w:val="20"/>
        </w:rPr>
        <w:t xml:space="preserve">Дата рождения _____________________________________________________________</w:t>
      </w:r>
    </w:p>
    <w:p>
      <w:pPr>
        <w:pStyle w:val="1"/>
        <w:jc w:val="both"/>
      </w:pPr>
      <w:r>
        <w:rPr>
          <w:sz w:val="20"/>
        </w:rPr>
        <w:t xml:space="preserve">Date of birth</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ВЛЭК ГА/ЦВЛЭК ГА (штамп ВЛЭК ГА/ЦВЛЭК ГА)</w:t>
      </w:r>
    </w:p>
    <w:p>
      <w:pPr>
        <w:pStyle w:val="1"/>
        <w:jc w:val="both"/>
      </w:pPr>
      <w:r>
        <w:rPr>
          <w:sz w:val="20"/>
        </w:rPr>
        <w:t xml:space="preserve">Medical Aviation Centre</w:t>
      </w:r>
    </w:p>
    <w:p>
      <w:pPr>
        <w:pStyle w:val="1"/>
        <w:jc w:val="both"/>
      </w:pPr>
      <w:r>
        <w:rPr>
          <w:sz w:val="20"/>
        </w:rPr>
      </w:r>
    </w:p>
    <w:p>
      <w:pPr>
        <w:pStyle w:val="1"/>
        <w:jc w:val="both"/>
      </w:pPr>
      <w:r>
        <w:rPr>
          <w:sz w:val="20"/>
        </w:rPr>
        <w:t xml:space="preserve">от "__" _______________ ____ г.</w:t>
      </w:r>
    </w:p>
    <w:p>
      <w:pPr>
        <w:pStyle w:val="1"/>
        <w:jc w:val="both"/>
      </w:pPr>
      <w:r>
        <w:rPr>
          <w:sz w:val="20"/>
        </w:rPr>
        <w:t xml:space="preserve">Date of issue</w:t>
      </w:r>
    </w:p>
    <w:p>
      <w:pPr>
        <w:pStyle w:val="1"/>
        <w:jc w:val="both"/>
      </w:pPr>
      <w:r>
        <w:rPr>
          <w:sz w:val="20"/>
        </w:rPr>
      </w:r>
    </w:p>
    <w:p>
      <w:pPr>
        <w:pStyle w:val="1"/>
        <w:jc w:val="both"/>
      </w:pPr>
      <w:r>
        <w:rPr>
          <w:sz w:val="20"/>
        </w:rPr>
        <w:t xml:space="preserve">Согласно Порядку МО ГА</w:t>
      </w:r>
    </w:p>
    <w:p>
      <w:pPr>
        <w:pStyle w:val="1"/>
        <w:jc w:val="both"/>
      </w:pPr>
      <w:r>
        <w:rPr>
          <w:sz w:val="20"/>
        </w:rPr>
        <w:t xml:space="preserve">In accordance with FAR of Russia</w:t>
      </w:r>
    </w:p>
    <w:p>
      <w:pPr>
        <w:pStyle w:val="1"/>
        <w:jc w:val="both"/>
      </w:pPr>
      <w:r>
        <w:rPr>
          <w:sz w:val="20"/>
        </w:rPr>
      </w:r>
    </w:p>
    <w:p>
      <w:pPr>
        <w:pStyle w:val="1"/>
        <w:jc w:val="both"/>
      </w:pPr>
      <w:r>
        <w:rPr>
          <w:sz w:val="20"/>
        </w:rPr>
        <w:t xml:space="preserve">ПРИЗНАН ГОДНЫМ к выполнению функций _______________________________________</w:t>
      </w:r>
    </w:p>
    <w:p>
      <w:pPr>
        <w:pStyle w:val="1"/>
        <w:jc w:val="both"/>
      </w:pPr>
      <w:r>
        <w:rPr>
          <w:sz w:val="20"/>
        </w:rPr>
        <w:t xml:space="preserve">Approved for flight operating _____________________________________________</w:t>
      </w:r>
    </w:p>
    <w:p>
      <w:pPr>
        <w:pStyle w:val="1"/>
        <w:jc w:val="both"/>
      </w:pPr>
      <w:r>
        <w:rPr>
          <w:sz w:val="20"/>
        </w:rPr>
      </w:r>
    </w:p>
    <w:p>
      <w:pPr>
        <w:pStyle w:val="1"/>
        <w:jc w:val="both"/>
      </w:pPr>
      <w:r>
        <w:rPr>
          <w:sz w:val="20"/>
        </w:rPr>
        <w:t xml:space="preserve">Медицинское заключение действительно по "__" _______________ ____ г.</w:t>
      </w:r>
    </w:p>
    <w:p>
      <w:pPr>
        <w:pStyle w:val="1"/>
        <w:jc w:val="both"/>
      </w:pPr>
      <w:r>
        <w:rPr>
          <w:sz w:val="20"/>
        </w:rPr>
        <w:t xml:space="preserve">Conclusion is valid till</w:t>
      </w:r>
    </w:p>
    <w:p>
      <w:pPr>
        <w:pStyle w:val="1"/>
        <w:jc w:val="both"/>
      </w:pPr>
      <w:r>
        <w:rPr>
          <w:sz w:val="20"/>
        </w:rPr>
      </w:r>
    </w:p>
    <w:p>
      <w:pPr>
        <w:pStyle w:val="1"/>
        <w:jc w:val="both"/>
      </w:pPr>
      <w:r>
        <w:rPr>
          <w:sz w:val="20"/>
        </w:rPr>
        <w:t xml:space="preserve">Медицинский эксперт (председатель) ВЛЭК ГА (ЦВЛЭК ГА)</w:t>
      </w:r>
    </w:p>
    <w:p>
      <w:pPr>
        <w:pStyle w:val="1"/>
        <w:jc w:val="both"/>
      </w:pPr>
      <w:r>
        <w:rPr>
          <w:sz w:val="20"/>
        </w:rPr>
        <w:t xml:space="preserve">Medical expert ____________________________________________________________</w:t>
      </w:r>
    </w:p>
    <w:p>
      <w:pPr>
        <w:pStyle w:val="1"/>
        <w:jc w:val="both"/>
      </w:pPr>
      <w:r>
        <w:rPr>
          <w:sz w:val="20"/>
        </w:rPr>
        <w:t xml:space="preserve">Подпись Signature</w:t>
      </w:r>
    </w:p>
    <w:p>
      <w:pPr>
        <w:pStyle w:val="1"/>
        <w:jc w:val="both"/>
      </w:pPr>
      <w:r>
        <w:rPr>
          <w:sz w:val="20"/>
        </w:rPr>
      </w:r>
    </w:p>
    <w:p>
      <w:pPr>
        <w:pStyle w:val="1"/>
        <w:jc w:val="both"/>
      </w:pPr>
      <w:r>
        <w:rPr>
          <w:sz w:val="20"/>
        </w:rPr>
        <w:t xml:space="preserve">М.П.</w:t>
      </w:r>
    </w:p>
    <w:p>
      <w:pPr>
        <w:pStyle w:val="1"/>
        <w:jc w:val="both"/>
      </w:pPr>
      <w:r>
        <w:rPr>
          <w:sz w:val="20"/>
        </w:rPr>
        <w:t xml:space="preserve">Stamp</w:t>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Медицинское заключение                                   Серия AA N 0000000</w:t>
      </w:r>
    </w:p>
    <w:p>
      <w:pPr>
        <w:pStyle w:val="1"/>
        <w:jc w:val="both"/>
      </w:pPr>
      <w:r>
        <w:rPr>
          <w:sz w:val="20"/>
        </w:rPr>
        <w:t xml:space="preserve">---------------------------------------------------------------------------</w:t>
      </w:r>
    </w:p>
    <w:p>
      <w:pPr>
        <w:pStyle w:val="1"/>
        <w:jc w:val="both"/>
      </w:pPr>
      <w:r>
        <w:rPr>
          <w:sz w:val="20"/>
        </w:rPr>
        <w:t xml:space="preserve">Выдано: ___________________________________________________________________</w:t>
      </w:r>
    </w:p>
    <w:p>
      <w:pPr>
        <w:pStyle w:val="1"/>
        <w:jc w:val="both"/>
      </w:pPr>
      <w:r>
        <w:rPr>
          <w:sz w:val="20"/>
        </w:rPr>
        <w:t xml:space="preserve">                      (Ф.И.О.)                    (должность)</w:t>
      </w:r>
    </w:p>
    <w:p>
      <w:pPr>
        <w:pStyle w:val="1"/>
        <w:jc w:val="both"/>
      </w:pPr>
      <w:r>
        <w:rPr>
          <w:sz w:val="20"/>
        </w:rPr>
      </w:r>
    </w:p>
    <w:p>
      <w:pPr>
        <w:pStyle w:val="1"/>
        <w:jc w:val="both"/>
      </w:pPr>
      <w:r>
        <w:rPr>
          <w:sz w:val="20"/>
        </w:rPr>
        <w:t xml:space="preserve">Дата выдачи: "__" _______________ ____ г.</w:t>
      </w:r>
    </w:p>
    <w:p>
      <w:pPr>
        <w:pStyle w:val="1"/>
        <w:jc w:val="both"/>
      </w:pPr>
      <w:r>
        <w:rPr>
          <w:sz w:val="20"/>
        </w:rPr>
        <w:t xml:space="preserve">Подпись в получении: _________________</w:t>
      </w:r>
    </w:p>
    <w:p>
      <w:pPr>
        <w:pStyle w:val="1"/>
        <w:jc w:val="both"/>
      </w:pPr>
      <w:r>
        <w:rPr>
          <w:sz w:val="20"/>
        </w:rPr>
      </w:r>
    </w:p>
    <w:p>
      <w:pPr>
        <w:pStyle w:val="1"/>
        <w:jc w:val="both"/>
      </w:pPr>
      <w:r>
        <w:rPr>
          <w:sz w:val="20"/>
        </w:rPr>
        <w:t xml:space="preserve">                                                          Оборотная сторона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65"/>
        <w:gridCol w:w="3912"/>
        <w:gridCol w:w="2494"/>
      </w:tblGrid>
      <w:tr>
        <w:tc>
          <w:tcPr>
            <w:tcW w:w="2665" w:type="dxa"/>
          </w:tcPr>
          <w:p>
            <w:pPr>
              <w:pStyle w:val="0"/>
              <w:jc w:val="center"/>
            </w:pPr>
            <w:r>
              <w:rPr>
                <w:sz w:val="20"/>
              </w:rPr>
              <w:t xml:space="preserve">Сроки медицинского осмотра (месяц, год)</w:t>
            </w:r>
          </w:p>
        </w:tc>
        <w:tc>
          <w:tcPr>
            <w:tcW w:w="3912" w:type="dxa"/>
          </w:tcPr>
          <w:p>
            <w:pPr>
              <w:pStyle w:val="0"/>
              <w:jc w:val="center"/>
            </w:pPr>
            <w:r>
              <w:rPr>
                <w:sz w:val="20"/>
              </w:rPr>
              <w:t xml:space="preserve">Отметка о прохождении медицинского осмотра</w:t>
            </w:r>
          </w:p>
        </w:tc>
        <w:tc>
          <w:tcPr>
            <w:tcW w:w="2494" w:type="dxa"/>
          </w:tcPr>
          <w:p>
            <w:pPr>
              <w:pStyle w:val="0"/>
              <w:jc w:val="center"/>
            </w:pPr>
            <w:r>
              <w:rPr>
                <w:sz w:val="20"/>
              </w:rPr>
              <w:t xml:space="preserve">Подпись и печать врача</w:t>
            </w:r>
          </w:p>
        </w:tc>
      </w:tr>
      <w:tr>
        <w:tc>
          <w:tcPr>
            <w:tcW w:w="2665" w:type="dxa"/>
          </w:tcPr>
          <w:p>
            <w:pPr>
              <w:pStyle w:val="0"/>
            </w:pPr>
            <w:r>
              <w:rPr>
                <w:sz w:val="20"/>
              </w:rPr>
            </w:r>
          </w:p>
        </w:tc>
        <w:tc>
          <w:tcPr>
            <w:tcW w:w="3912" w:type="dxa"/>
          </w:tcPr>
          <w:p>
            <w:pPr>
              <w:pStyle w:val="0"/>
            </w:pPr>
            <w:r>
              <w:rPr>
                <w:sz w:val="20"/>
              </w:rPr>
            </w:r>
          </w:p>
        </w:tc>
        <w:tc>
          <w:tcPr>
            <w:tcW w:w="2494" w:type="dxa"/>
          </w:tcPr>
          <w:p>
            <w:pPr>
              <w:pStyle w:val="0"/>
            </w:pPr>
            <w:r>
              <w:rPr>
                <w:sz w:val="20"/>
              </w:rPr>
            </w:r>
          </w:p>
        </w:tc>
      </w:tr>
      <w:tr>
        <w:tc>
          <w:tcPr>
            <w:tcW w:w="2665" w:type="dxa"/>
          </w:tcPr>
          <w:p>
            <w:pPr>
              <w:pStyle w:val="0"/>
            </w:pPr>
            <w:r>
              <w:rPr>
                <w:sz w:val="20"/>
              </w:rPr>
            </w:r>
          </w:p>
        </w:tc>
        <w:tc>
          <w:tcPr>
            <w:tcW w:w="3912" w:type="dxa"/>
          </w:tcPr>
          <w:p>
            <w:pPr>
              <w:pStyle w:val="0"/>
            </w:pPr>
            <w:r>
              <w:rPr>
                <w:sz w:val="20"/>
              </w:rPr>
            </w:r>
          </w:p>
        </w:tc>
        <w:tc>
          <w:tcPr>
            <w:tcW w:w="2494" w:type="dxa"/>
          </w:tcPr>
          <w:p>
            <w:pPr>
              <w:pStyle w:val="0"/>
            </w:pPr>
            <w:r>
              <w:rPr>
                <w:sz w:val="20"/>
              </w:rPr>
            </w:r>
          </w:p>
        </w:tc>
      </w:tr>
      <w:tr>
        <w:tc>
          <w:tcPr>
            <w:tcW w:w="2665" w:type="dxa"/>
          </w:tcPr>
          <w:p>
            <w:pPr>
              <w:pStyle w:val="0"/>
            </w:pPr>
            <w:r>
              <w:rPr>
                <w:sz w:val="20"/>
              </w:rPr>
            </w:r>
          </w:p>
        </w:tc>
        <w:tc>
          <w:tcPr>
            <w:tcW w:w="3912" w:type="dxa"/>
          </w:tcPr>
          <w:p>
            <w:pPr>
              <w:pStyle w:val="0"/>
            </w:pPr>
            <w:r>
              <w:rPr>
                <w:sz w:val="20"/>
              </w:rPr>
            </w:r>
          </w:p>
        </w:tc>
        <w:tc>
          <w:tcPr>
            <w:tcW w:w="2494" w:type="dxa"/>
          </w:tcPr>
          <w:p>
            <w:pPr>
              <w:pStyle w:val="0"/>
            </w:pPr>
            <w:r>
              <w:rPr>
                <w:sz w:val="20"/>
              </w:rPr>
            </w:r>
          </w:p>
        </w:tc>
      </w:tr>
      <w:tr>
        <w:tc>
          <w:tcPr>
            <w:tcW w:w="2665" w:type="dxa"/>
          </w:tcPr>
          <w:p>
            <w:pPr>
              <w:pStyle w:val="0"/>
            </w:pPr>
            <w:r>
              <w:rPr>
                <w:sz w:val="20"/>
              </w:rPr>
            </w:r>
          </w:p>
        </w:tc>
        <w:tc>
          <w:tcPr>
            <w:tcW w:w="3912" w:type="dxa"/>
          </w:tcPr>
          <w:p>
            <w:pPr>
              <w:pStyle w:val="0"/>
            </w:pPr>
            <w:r>
              <w:rPr>
                <w:sz w:val="20"/>
              </w:rPr>
            </w:r>
          </w:p>
        </w:tc>
        <w:tc>
          <w:tcPr>
            <w:tcW w:w="2494" w:type="dxa"/>
          </w:tcPr>
          <w:p>
            <w:pPr>
              <w:pStyle w:val="0"/>
            </w:pPr>
            <w:r>
              <w:rPr>
                <w:sz w:val="20"/>
              </w:rPr>
            </w:r>
          </w:p>
        </w:tc>
      </w:tr>
      <w:tr>
        <w:tc>
          <w:tcPr>
            <w:tcW w:w="2665" w:type="dxa"/>
          </w:tcPr>
          <w:p>
            <w:pPr>
              <w:pStyle w:val="0"/>
            </w:pPr>
            <w:r>
              <w:rPr>
                <w:sz w:val="20"/>
              </w:rPr>
            </w:r>
          </w:p>
        </w:tc>
        <w:tc>
          <w:tcPr>
            <w:tcW w:w="3912" w:type="dxa"/>
          </w:tcPr>
          <w:p>
            <w:pPr>
              <w:pStyle w:val="0"/>
            </w:pPr>
            <w:r>
              <w:rPr>
                <w:sz w:val="20"/>
              </w:rPr>
            </w:r>
          </w:p>
        </w:tc>
        <w:tc>
          <w:tcPr>
            <w:tcW w:w="2494" w:type="dxa"/>
          </w:tcPr>
          <w:p>
            <w:pPr>
              <w:pStyle w:val="0"/>
            </w:pPr>
            <w:r>
              <w:rPr>
                <w:sz w:val="20"/>
              </w:rPr>
            </w:r>
          </w:p>
        </w:tc>
      </w:tr>
      <w:tr>
        <w:tc>
          <w:tcPr>
            <w:tcW w:w="2665" w:type="dxa"/>
          </w:tcPr>
          <w:p>
            <w:pPr>
              <w:pStyle w:val="0"/>
            </w:pPr>
            <w:r>
              <w:rPr>
                <w:sz w:val="20"/>
              </w:rPr>
            </w:r>
          </w:p>
        </w:tc>
        <w:tc>
          <w:tcPr>
            <w:tcW w:w="3912" w:type="dxa"/>
          </w:tcPr>
          <w:p>
            <w:pPr>
              <w:pStyle w:val="0"/>
            </w:pPr>
            <w:r>
              <w:rPr>
                <w:sz w:val="20"/>
              </w:rPr>
            </w:r>
          </w:p>
        </w:tc>
        <w:tc>
          <w:tcPr>
            <w:tcW w:w="2494" w:type="dxa"/>
          </w:tcPr>
          <w:p>
            <w:pPr>
              <w:pStyle w:val="0"/>
            </w:pPr>
            <w:r>
              <w:rPr>
                <w:sz w:val="20"/>
              </w:rPr>
            </w:r>
          </w:p>
        </w:tc>
      </w:tr>
    </w:tbl>
    <w:p>
      <w:pPr>
        <w:pStyle w:val="0"/>
        <w:jc w:val="both"/>
      </w:pPr>
      <w:r>
        <w:rPr>
          <w:sz w:val="20"/>
        </w:rPr>
      </w:r>
    </w:p>
    <w:p>
      <w:pPr>
        <w:pStyle w:val="1"/>
        <w:jc w:val="both"/>
      </w:pPr>
      <w:r>
        <w:rPr>
          <w:sz w:val="20"/>
        </w:rPr>
        <w:t xml:space="preserve">    Особые отметки/ограничения: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5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361" w:name="P361"/>
    <w:bookmarkEnd w:id="361"/>
    <w:p>
      <w:pPr>
        <w:pStyle w:val="0"/>
        <w:jc w:val="center"/>
      </w:pPr>
      <w:r>
        <w:rPr>
          <w:sz w:val="20"/>
        </w:rPr>
        <w:t xml:space="preserve">Заявление на медицинское освидетельствование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1"/>
        <w:gridCol w:w="640"/>
        <w:gridCol w:w="422"/>
        <w:gridCol w:w="451"/>
        <w:gridCol w:w="129"/>
        <w:gridCol w:w="211"/>
        <w:gridCol w:w="530"/>
        <w:gridCol w:w="309"/>
        <w:gridCol w:w="130"/>
        <w:gridCol w:w="351"/>
        <w:gridCol w:w="290"/>
        <w:gridCol w:w="220"/>
        <w:gridCol w:w="340"/>
        <w:gridCol w:w="340"/>
        <w:gridCol w:w="302"/>
        <w:gridCol w:w="360"/>
        <w:gridCol w:w="258"/>
        <w:gridCol w:w="279"/>
        <w:gridCol w:w="200"/>
        <w:gridCol w:w="340"/>
        <w:gridCol w:w="340"/>
        <w:gridCol w:w="1984"/>
      </w:tblGrid>
      <w:tr>
        <w:tc>
          <w:tcPr>
            <w:gridSpan w:val="7"/>
            <w:tcW w:w="3024" w:type="dxa"/>
          </w:tcPr>
          <w:p>
            <w:pPr>
              <w:pStyle w:val="0"/>
            </w:pPr>
            <w:r>
              <w:rPr>
                <w:sz w:val="20"/>
              </w:rPr>
              <w:t xml:space="preserve">Фамилия:</w:t>
            </w:r>
          </w:p>
        </w:tc>
        <w:tc>
          <w:tcPr>
            <w:gridSpan w:val="9"/>
            <w:tcW w:w="2642" w:type="dxa"/>
          </w:tcPr>
          <w:p>
            <w:pPr>
              <w:pStyle w:val="0"/>
            </w:pPr>
            <w:r>
              <w:rPr>
                <w:sz w:val="20"/>
              </w:rPr>
              <w:t xml:space="preserve">Прежняя фамилия:</w:t>
            </w:r>
          </w:p>
        </w:tc>
        <w:tc>
          <w:tcPr>
            <w:gridSpan w:val="6"/>
            <w:tcW w:w="3401" w:type="dxa"/>
          </w:tcPr>
          <w:p>
            <w:pPr>
              <w:pStyle w:val="0"/>
            </w:pPr>
            <w:r>
              <w:rPr>
                <w:sz w:val="20"/>
              </w:rPr>
              <w:t xml:space="preserve">Идентификационный номер:</w:t>
            </w:r>
          </w:p>
        </w:tc>
      </w:tr>
      <w:tr>
        <w:tc>
          <w:tcPr>
            <w:gridSpan w:val="10"/>
            <w:tcW w:w="3814" w:type="dxa"/>
            <w:vMerge w:val="restart"/>
          </w:tcPr>
          <w:p>
            <w:pPr>
              <w:pStyle w:val="0"/>
            </w:pPr>
            <w:r>
              <w:rPr>
                <w:sz w:val="20"/>
              </w:rPr>
              <w:t xml:space="preserve">Имя, отчество:</w:t>
            </w:r>
          </w:p>
        </w:tc>
        <w:tc>
          <w:tcPr>
            <w:gridSpan w:val="6"/>
            <w:tcW w:w="1852" w:type="dxa"/>
          </w:tcPr>
          <w:p>
            <w:pPr>
              <w:pStyle w:val="0"/>
            </w:pPr>
            <w:r>
              <w:rPr>
                <w:sz w:val="20"/>
              </w:rPr>
              <w:t xml:space="preserve">Дата рождения:</w:t>
            </w:r>
          </w:p>
        </w:tc>
        <w:tc>
          <w:tcPr>
            <w:gridSpan w:val="4"/>
            <w:tcW w:w="1077" w:type="dxa"/>
            <w:tcBorders>
              <w:bottom w:val="nil"/>
            </w:tcBorders>
          </w:tcPr>
          <w:p>
            <w:pPr>
              <w:pStyle w:val="0"/>
            </w:pPr>
            <w:r>
              <w:rPr>
                <w:sz w:val="20"/>
              </w:rPr>
              <w:t xml:space="preserve">Пол:</w:t>
            </w:r>
          </w:p>
        </w:tc>
        <w:tc>
          <w:tcPr>
            <w:tcW w:w="340" w:type="dxa"/>
            <w:tcBorders>
              <w:bottom w:val="nil"/>
              <w:right w:val="nil"/>
            </w:tcBorders>
          </w:tcPr>
          <w:p>
            <w:pPr>
              <w:pStyle w:val="0"/>
            </w:pPr>
            <w:r>
              <w:rPr>
                <w:sz w:val="20"/>
              </w:rPr>
              <w:t xml:space="preserve">1</w:t>
            </w:r>
          </w:p>
        </w:tc>
        <w:tc>
          <w:tcPr>
            <w:tcW w:w="1984" w:type="dxa"/>
            <w:tcBorders>
              <w:left w:val="nil"/>
              <w:bottom w:val="nil"/>
            </w:tcBorders>
          </w:tcPr>
          <w:p>
            <w:pPr>
              <w:pStyle w:val="0"/>
            </w:pPr>
            <w:r>
              <w:rPr>
                <w:sz w:val="20"/>
              </w:rPr>
              <w:t xml:space="preserve">Заявление</w:t>
            </w:r>
          </w:p>
        </w:tc>
      </w:tr>
      <w:tr>
        <w:tc>
          <w:tcPr>
            <w:gridSpan w:val="10"/>
            <w:vMerge w:val="continue"/>
          </w:tcPr>
          <w:p/>
        </w:tc>
        <w:tc>
          <w:tcPr>
            <w:gridSpan w:val="6"/>
            <w:tcW w:w="1852" w:type="dxa"/>
          </w:tcPr>
          <w:p>
            <w:pPr>
              <w:pStyle w:val="0"/>
            </w:pPr>
            <w:r>
              <w:rPr>
                <w:sz w:val="20"/>
              </w:rPr>
            </w:r>
          </w:p>
        </w:tc>
        <w:tc>
          <w:tcPr>
            <w:gridSpan w:val="2"/>
            <w:tcW w:w="537" w:type="dxa"/>
            <w:tcBorders>
              <w:top w:val="nil"/>
              <w:right w:val="nil"/>
            </w:tcBorders>
          </w:tcPr>
          <w:p>
            <w:pPr>
              <w:pStyle w:val="0"/>
            </w:pPr>
            <w:r>
              <w:rPr>
                <w:sz w:val="20"/>
              </w:rPr>
              <w:t xml:space="preserve">М</w:t>
            </w:r>
          </w:p>
        </w:tc>
        <w:tc>
          <w:tcPr>
            <w:gridSpan w:val="2"/>
            <w:tcW w:w="540" w:type="dxa"/>
            <w:tcBorders>
              <w:top w:val="nil"/>
              <w:left w:val="nil"/>
            </w:tcBorders>
          </w:tcPr>
          <w:p>
            <w:pPr>
              <w:pStyle w:val="0"/>
            </w:pPr>
            <w:r>
              <w:rPr>
                <w:sz w:val="20"/>
              </w:rPr>
              <w:t xml:space="preserve">Ж</w:t>
            </w:r>
          </w:p>
        </w:tc>
        <w:tc>
          <w:tcPr>
            <w:gridSpan w:val="2"/>
            <w:tcW w:w="2324" w:type="dxa"/>
            <w:tcBorders>
              <w:top w:val="nil"/>
            </w:tcBorders>
          </w:tcPr>
          <w:p>
            <w:pPr>
              <w:pStyle w:val="0"/>
            </w:pPr>
            <w:r>
              <w:rPr>
                <w:sz w:val="20"/>
              </w:rPr>
              <w:t xml:space="preserve">Первичное, очередное</w:t>
            </w:r>
          </w:p>
          <w:p>
            <w:pPr>
              <w:pStyle w:val="0"/>
            </w:pPr>
            <w:r>
              <w:rPr>
                <w:sz w:val="20"/>
              </w:rPr>
              <w:t xml:space="preserve">Внеочередное</w:t>
            </w:r>
          </w:p>
        </w:tc>
      </w:tr>
      <w:tr>
        <w:tc>
          <w:tcPr>
            <w:gridSpan w:val="12"/>
            <w:tcW w:w="4324" w:type="dxa"/>
            <w:vAlign w:val="center"/>
            <w:vMerge w:val="restart"/>
          </w:tcPr>
          <w:p>
            <w:pPr>
              <w:pStyle w:val="0"/>
            </w:pPr>
            <w:r>
              <w:rPr>
                <w:sz w:val="20"/>
              </w:rPr>
              <w:t xml:space="preserve">Страна выдачи свидетельства:</w:t>
            </w:r>
          </w:p>
        </w:tc>
        <w:tc>
          <w:tcPr>
            <w:gridSpan w:val="10"/>
            <w:tcW w:w="4743" w:type="dxa"/>
            <w:tcBorders>
              <w:bottom w:val="nil"/>
            </w:tcBorders>
          </w:tcPr>
          <w:p>
            <w:pPr>
              <w:pStyle w:val="0"/>
            </w:pPr>
            <w:r>
              <w:rPr>
                <w:sz w:val="20"/>
              </w:rPr>
              <w:t xml:space="preserve">Запрашиваемый класс медицинского заключения: 1-й;</w:t>
            </w:r>
          </w:p>
        </w:tc>
      </w:tr>
      <w:tr>
        <w:tblPrEx>
          <w:tblBorders>
            <w:insideV w:val="nil"/>
          </w:tblBorders>
        </w:tblPrEx>
        <w:tc>
          <w:tcPr>
            <w:gridSpan w:val="12"/>
            <w:tcBorders>
              <w:left w:val="single" w:sz="4"/>
              <w:right w:val="single" w:sz="4"/>
            </w:tcBorders>
            <w:vMerge w:val="continue"/>
          </w:tcPr>
          <w:p/>
        </w:tc>
        <w:tc>
          <w:tcPr>
            <w:gridSpan w:val="2"/>
            <w:tcW w:w="680" w:type="dxa"/>
            <w:tcBorders>
              <w:top w:val="nil"/>
              <w:left w:val="single" w:sz="4"/>
            </w:tcBorders>
          </w:tcPr>
          <w:p>
            <w:pPr>
              <w:pStyle w:val="0"/>
            </w:pPr>
            <w:r>
              <w:rPr>
                <w:sz w:val="20"/>
              </w:rPr>
              <w:t xml:space="preserve">2-й;</w:t>
            </w:r>
          </w:p>
        </w:tc>
        <w:tc>
          <w:tcPr>
            <w:gridSpan w:val="8"/>
            <w:tcW w:w="4063" w:type="dxa"/>
            <w:tcBorders>
              <w:top w:val="nil"/>
              <w:right w:val="single" w:sz="4"/>
            </w:tcBorders>
          </w:tcPr>
          <w:p>
            <w:pPr>
              <w:pStyle w:val="0"/>
            </w:pPr>
            <w:r>
              <w:rPr>
                <w:sz w:val="20"/>
              </w:rPr>
              <w:t xml:space="preserve">3-й</w:t>
            </w:r>
          </w:p>
        </w:tc>
      </w:tr>
      <w:tr>
        <w:tc>
          <w:tcPr>
            <w:gridSpan w:val="15"/>
            <w:tcW w:w="5306" w:type="dxa"/>
          </w:tcPr>
          <w:p>
            <w:pPr>
              <w:pStyle w:val="0"/>
            </w:pPr>
            <w:r>
              <w:rPr>
                <w:sz w:val="20"/>
              </w:rPr>
              <w:t xml:space="preserve">Место, страна рождения:</w:t>
            </w:r>
          </w:p>
        </w:tc>
        <w:tc>
          <w:tcPr>
            <w:gridSpan w:val="7"/>
            <w:tcW w:w="3761" w:type="dxa"/>
          </w:tcPr>
          <w:p>
            <w:pPr>
              <w:pStyle w:val="0"/>
            </w:pPr>
            <w:r>
              <w:rPr>
                <w:sz w:val="20"/>
              </w:rPr>
              <w:t xml:space="preserve">Профессия (основная):</w:t>
            </w:r>
          </w:p>
        </w:tc>
      </w:tr>
      <w:tr>
        <w:tc>
          <w:tcPr>
            <w:gridSpan w:val="6"/>
            <w:tcW w:w="2494" w:type="dxa"/>
          </w:tcPr>
          <w:p>
            <w:pPr>
              <w:pStyle w:val="0"/>
            </w:pPr>
            <w:r>
              <w:rPr>
                <w:sz w:val="20"/>
              </w:rPr>
              <w:t xml:space="preserve">Адрес проживания</w:t>
            </w:r>
          </w:p>
        </w:tc>
        <w:tc>
          <w:tcPr>
            <w:gridSpan w:val="6"/>
            <w:tcW w:w="1830" w:type="dxa"/>
          </w:tcPr>
          <w:p>
            <w:pPr>
              <w:pStyle w:val="0"/>
            </w:pPr>
            <w:r>
              <w:rPr>
                <w:sz w:val="20"/>
              </w:rPr>
              <w:t xml:space="preserve">Адрес регистрации</w:t>
            </w:r>
          </w:p>
        </w:tc>
        <w:tc>
          <w:tcPr>
            <w:gridSpan w:val="10"/>
            <w:tcW w:w="4743" w:type="dxa"/>
          </w:tcPr>
          <w:p>
            <w:pPr>
              <w:pStyle w:val="0"/>
            </w:pPr>
            <w:r>
              <w:rPr>
                <w:sz w:val="20"/>
              </w:rPr>
              <w:t xml:space="preserve">Место работы (образовательная организация):</w:t>
            </w:r>
          </w:p>
        </w:tc>
      </w:tr>
      <w:tr>
        <w:tc>
          <w:tcPr>
            <w:gridSpan w:val="6"/>
            <w:tcW w:w="2494" w:type="dxa"/>
            <w:vMerge w:val="restart"/>
          </w:tcPr>
          <w:p>
            <w:pPr>
              <w:pStyle w:val="0"/>
            </w:pPr>
            <w:r>
              <w:rPr>
                <w:sz w:val="20"/>
              </w:rPr>
            </w:r>
          </w:p>
        </w:tc>
        <w:tc>
          <w:tcPr>
            <w:gridSpan w:val="9"/>
            <w:tcW w:w="2812" w:type="dxa"/>
            <w:vMerge w:val="restart"/>
          </w:tcPr>
          <w:p>
            <w:pPr>
              <w:pStyle w:val="0"/>
            </w:pPr>
            <w:r>
              <w:rPr>
                <w:sz w:val="20"/>
              </w:rPr>
            </w:r>
          </w:p>
        </w:tc>
        <w:tc>
          <w:tcPr>
            <w:gridSpan w:val="7"/>
            <w:tcW w:w="3761" w:type="dxa"/>
          </w:tcPr>
          <w:p>
            <w:pPr>
              <w:pStyle w:val="0"/>
            </w:pPr>
            <w:r>
              <w:rPr>
                <w:sz w:val="20"/>
              </w:rPr>
              <w:t xml:space="preserve">Последнее медицинское освидетельствование:</w:t>
            </w:r>
          </w:p>
        </w:tc>
      </w:tr>
      <w:tr>
        <w:tc>
          <w:tcPr>
            <w:gridSpan w:val="6"/>
            <w:vMerge w:val="continue"/>
          </w:tcPr>
          <w:p/>
        </w:tc>
        <w:tc>
          <w:tcPr>
            <w:gridSpan w:val="9"/>
            <w:vMerge w:val="continue"/>
          </w:tcPr>
          <w:p/>
        </w:tc>
        <w:tc>
          <w:tcPr>
            <w:gridSpan w:val="7"/>
            <w:tcW w:w="3761" w:type="dxa"/>
          </w:tcPr>
          <w:p>
            <w:pPr>
              <w:pStyle w:val="0"/>
            </w:pPr>
            <w:r>
              <w:rPr>
                <w:sz w:val="20"/>
              </w:rPr>
              <w:t xml:space="preserve">Дата:</w:t>
            </w:r>
          </w:p>
        </w:tc>
      </w:tr>
      <w:tr>
        <w:tc>
          <w:tcPr>
            <w:gridSpan w:val="6"/>
            <w:vMerge w:val="continue"/>
          </w:tcPr>
          <w:p/>
        </w:tc>
        <w:tc>
          <w:tcPr>
            <w:gridSpan w:val="9"/>
            <w:vMerge w:val="continue"/>
          </w:tcPr>
          <w:p/>
        </w:tc>
        <w:tc>
          <w:tcPr>
            <w:gridSpan w:val="7"/>
            <w:tcW w:w="3761" w:type="dxa"/>
          </w:tcPr>
          <w:p>
            <w:pPr>
              <w:pStyle w:val="0"/>
            </w:pPr>
            <w:r>
              <w:rPr>
                <w:sz w:val="20"/>
              </w:rPr>
              <w:t xml:space="preserve">Место:</w:t>
            </w:r>
          </w:p>
        </w:tc>
      </w:tr>
      <w:tr>
        <w:tc>
          <w:tcPr>
            <w:gridSpan w:val="3"/>
            <w:tcW w:w="1703" w:type="dxa"/>
          </w:tcPr>
          <w:p>
            <w:pPr>
              <w:pStyle w:val="0"/>
            </w:pPr>
            <w:r>
              <w:rPr>
                <w:sz w:val="20"/>
              </w:rPr>
              <w:t xml:space="preserve">Эл. почта</w:t>
            </w:r>
          </w:p>
        </w:tc>
        <w:tc>
          <w:tcPr>
            <w:gridSpan w:val="10"/>
            <w:tcW w:w="2961" w:type="dxa"/>
          </w:tcPr>
          <w:p>
            <w:pPr>
              <w:pStyle w:val="0"/>
            </w:pPr>
            <w:r>
              <w:rPr>
                <w:sz w:val="20"/>
              </w:rPr>
              <w:t xml:space="preserve">Номер телефона</w:t>
            </w:r>
          </w:p>
        </w:tc>
        <w:tc>
          <w:tcPr>
            <w:gridSpan w:val="9"/>
            <w:tcW w:w="4403" w:type="dxa"/>
          </w:tcPr>
          <w:p>
            <w:pPr>
              <w:pStyle w:val="0"/>
            </w:pPr>
            <w:r>
              <w:rPr>
                <w:sz w:val="20"/>
              </w:rPr>
              <w:t xml:space="preserve">Имеющееся медицинское заключение (класс):</w:t>
            </w:r>
          </w:p>
        </w:tc>
      </w:tr>
      <w:tr>
        <w:tc>
          <w:tcPr>
            <w:gridSpan w:val="13"/>
            <w:tcW w:w="4664" w:type="dxa"/>
          </w:tcPr>
          <w:p>
            <w:pPr>
              <w:pStyle w:val="0"/>
            </w:pPr>
            <w:r>
              <w:rPr>
                <w:sz w:val="20"/>
              </w:rPr>
              <w:t xml:space="preserve">Имеются ли ограничения в свидетельстве/медицинском заключении:</w:t>
            </w:r>
          </w:p>
        </w:tc>
        <w:tc>
          <w:tcPr>
            <w:gridSpan w:val="9"/>
            <w:tcW w:w="4403" w:type="dxa"/>
            <w:vAlign w:val="center"/>
          </w:tcPr>
          <w:p>
            <w:pPr>
              <w:pStyle w:val="0"/>
            </w:pPr>
            <w:r>
              <w:rPr>
                <w:sz w:val="20"/>
              </w:rPr>
              <w:t xml:space="preserve">Вид и номер свидетельства:</w:t>
            </w:r>
          </w:p>
        </w:tc>
      </w:tr>
      <w:tr>
        <w:tblPrEx>
          <w:tblBorders>
            <w:insideV w:val="nil"/>
          </w:tblBorders>
        </w:tblPrEx>
        <w:tc>
          <w:tcPr>
            <w:tcW w:w="641" w:type="dxa"/>
            <w:tcBorders>
              <w:left w:val="single" w:sz="4"/>
            </w:tcBorders>
          </w:tcPr>
          <w:p>
            <w:pPr>
              <w:pStyle w:val="0"/>
            </w:pPr>
            <w:r>
              <w:rPr>
                <w:sz w:val="20"/>
              </w:rPr>
              <w:t xml:space="preserve">Нет</w:t>
            </w:r>
          </w:p>
        </w:tc>
        <w:tc>
          <w:tcPr>
            <w:tcW w:w="640" w:type="dxa"/>
          </w:tcPr>
          <w:p>
            <w:pPr>
              <w:pStyle w:val="0"/>
            </w:pPr>
            <w:r>
              <w:rPr>
                <w:sz w:val="20"/>
              </w:rPr>
              <w:t xml:space="preserve">Да</w:t>
            </w:r>
          </w:p>
        </w:tc>
        <w:tc>
          <w:tcPr>
            <w:gridSpan w:val="11"/>
            <w:tcW w:w="3383" w:type="dxa"/>
            <w:tcBorders>
              <w:right w:val="single" w:sz="4"/>
            </w:tcBorders>
          </w:tcPr>
          <w:p>
            <w:pPr>
              <w:pStyle w:val="0"/>
            </w:pPr>
            <w:r>
              <w:rPr>
                <w:sz w:val="20"/>
              </w:rPr>
              <w:t xml:space="preserve">Указать:</w:t>
            </w:r>
          </w:p>
        </w:tc>
        <w:tc>
          <w:tcPr>
            <w:gridSpan w:val="9"/>
            <w:tcW w:w="4403" w:type="dxa"/>
            <w:tcBorders>
              <w:left w:val="single" w:sz="4"/>
              <w:right w:val="single" w:sz="4"/>
            </w:tcBorders>
          </w:tcPr>
          <w:p>
            <w:pPr>
              <w:pStyle w:val="0"/>
            </w:pPr>
            <w:r>
              <w:rPr>
                <w:sz w:val="20"/>
              </w:rPr>
              <w:t xml:space="preserve">Страна выдачи:</w:t>
            </w:r>
          </w:p>
        </w:tc>
      </w:tr>
      <w:tr>
        <w:tc>
          <w:tcPr>
            <w:gridSpan w:val="14"/>
            <w:tcW w:w="5004" w:type="dxa"/>
            <w:tcBorders>
              <w:bottom w:val="nil"/>
            </w:tcBorders>
          </w:tcPr>
          <w:p>
            <w:pPr>
              <w:pStyle w:val="0"/>
            </w:pPr>
            <w:r>
              <w:rPr>
                <w:sz w:val="20"/>
              </w:rPr>
              <w:t xml:space="preserve">Имели ли место отказы в выдаче (приостановление, отзыв)</w:t>
            </w:r>
          </w:p>
        </w:tc>
        <w:tc>
          <w:tcPr>
            <w:gridSpan w:val="5"/>
            <w:tcW w:w="1399" w:type="dxa"/>
            <w:vMerge w:val="restart"/>
          </w:tcPr>
          <w:p>
            <w:pPr>
              <w:pStyle w:val="0"/>
            </w:pPr>
            <w:r>
              <w:rPr>
                <w:sz w:val="20"/>
              </w:rPr>
              <w:t xml:space="preserve">Общий налет часов:</w:t>
            </w:r>
          </w:p>
        </w:tc>
        <w:tc>
          <w:tcPr>
            <w:gridSpan w:val="3"/>
            <w:tcW w:w="2664" w:type="dxa"/>
            <w:vMerge w:val="restart"/>
          </w:tcPr>
          <w:p>
            <w:pPr>
              <w:pStyle w:val="0"/>
            </w:pPr>
            <w:r>
              <w:rPr>
                <w:sz w:val="20"/>
              </w:rPr>
              <w:t xml:space="preserve">Налет часов в межкомиссионный период:</w:t>
            </w:r>
          </w:p>
        </w:tc>
      </w:tr>
      <w:tr>
        <w:tblPrEx>
          <w:tblBorders>
            <w:insideV w:val="nil"/>
            <w:insideH w:val="nil"/>
          </w:tblBorders>
        </w:tblPrEx>
        <w:tc>
          <w:tcPr>
            <w:gridSpan w:val="9"/>
            <w:tcW w:w="3463" w:type="dxa"/>
            <w:tcBorders>
              <w:top w:val="nil"/>
              <w:left w:val="single" w:sz="4"/>
              <w:bottom w:val="nil"/>
            </w:tcBorders>
          </w:tcPr>
          <w:p>
            <w:pPr>
              <w:pStyle w:val="0"/>
            </w:pPr>
            <w:r>
              <w:rPr>
                <w:sz w:val="20"/>
              </w:rPr>
              <w:t xml:space="preserve">медицинского заключения: Нет</w:t>
            </w:r>
          </w:p>
        </w:tc>
        <w:tc>
          <w:tcPr>
            <w:gridSpan w:val="2"/>
            <w:tcW w:w="641" w:type="dxa"/>
            <w:tcBorders>
              <w:top w:val="nil"/>
              <w:bottom w:val="nil"/>
            </w:tcBorders>
          </w:tcPr>
          <w:p>
            <w:pPr>
              <w:pStyle w:val="0"/>
            </w:pPr>
            <w:r>
              <w:rPr>
                <w:sz w:val="20"/>
              </w:rPr>
              <w:t xml:space="preserve">Да</w:t>
            </w:r>
          </w:p>
        </w:tc>
        <w:tc>
          <w:tcPr>
            <w:gridSpan w:val="3"/>
            <w:tcW w:w="900" w:type="dxa"/>
            <w:tcBorders>
              <w:top w:val="nil"/>
              <w:bottom w:val="nil"/>
              <w:right w:val="single" w:sz="4"/>
            </w:tcBorders>
          </w:tcPr>
          <w:p>
            <w:pPr>
              <w:pStyle w:val="0"/>
            </w:pPr>
            <w:r>
              <w:rPr>
                <w:sz w:val="20"/>
              </w:rPr>
              <w:t xml:space="preserve">Дата:</w:t>
            </w:r>
          </w:p>
        </w:tc>
        <w:tc>
          <w:tcPr>
            <w:gridSpan w:val="5"/>
            <w:tcBorders>
              <w:left w:val="single" w:sz="4"/>
              <w:right w:val="single" w:sz="4"/>
            </w:tcBorders>
            <w:vMerge w:val="continue"/>
          </w:tcPr>
          <w:p/>
        </w:tc>
        <w:tc>
          <w:tcPr>
            <w:gridSpan w:val="3"/>
            <w:tcBorders>
              <w:left w:val="single" w:sz="4"/>
              <w:right w:val="single" w:sz="4"/>
            </w:tcBorders>
            <w:vMerge w:val="continue"/>
          </w:tcPr>
          <w:p/>
        </w:tc>
      </w:tr>
      <w:tr>
        <w:tc>
          <w:tcPr>
            <w:gridSpan w:val="14"/>
            <w:tcW w:w="5004" w:type="dxa"/>
            <w:tcBorders>
              <w:top w:val="nil"/>
            </w:tcBorders>
          </w:tcPr>
          <w:p>
            <w:pPr>
              <w:pStyle w:val="0"/>
            </w:pPr>
            <w:r>
              <w:rPr>
                <w:sz w:val="20"/>
              </w:rPr>
              <w:t xml:space="preserve">Место:</w:t>
            </w:r>
          </w:p>
          <w:p>
            <w:pPr>
              <w:pStyle w:val="0"/>
            </w:pPr>
            <w:r>
              <w:rPr>
                <w:sz w:val="20"/>
              </w:rPr>
              <w:t xml:space="preserve">Подробнее:</w:t>
            </w:r>
          </w:p>
        </w:tc>
        <w:tc>
          <w:tcPr>
            <w:gridSpan w:val="8"/>
            <w:tcW w:w="4063" w:type="dxa"/>
            <w:vAlign w:val="center"/>
          </w:tcPr>
          <w:p>
            <w:pPr>
              <w:pStyle w:val="0"/>
            </w:pPr>
            <w:r>
              <w:rPr>
                <w:sz w:val="20"/>
              </w:rPr>
              <w:t xml:space="preserve">Тип воздушного судна:</w:t>
            </w:r>
          </w:p>
        </w:tc>
      </w:tr>
      <w:tr>
        <w:tc>
          <w:tcPr>
            <w:gridSpan w:val="14"/>
            <w:tcW w:w="5004" w:type="dxa"/>
            <w:tcBorders>
              <w:bottom w:val="nil"/>
            </w:tcBorders>
          </w:tcPr>
          <w:p>
            <w:pPr>
              <w:pStyle w:val="0"/>
            </w:pPr>
            <w:r>
              <w:rPr>
                <w:sz w:val="20"/>
              </w:rPr>
              <w:t xml:space="preserve">Имели ли место авиационные события в межкомиссионный период: Нет</w:t>
            </w:r>
          </w:p>
        </w:tc>
        <w:tc>
          <w:tcPr>
            <w:gridSpan w:val="8"/>
            <w:tcW w:w="4063" w:type="dxa"/>
            <w:vMerge w:val="restart"/>
          </w:tcPr>
          <w:p>
            <w:pPr>
              <w:pStyle w:val="0"/>
            </w:pPr>
            <w:r>
              <w:rPr>
                <w:sz w:val="20"/>
              </w:rPr>
              <w:t xml:space="preserve">Предполагаемый вид деятельности (обучение, диспетчер УВД, коммерческие перевозки, авиационные работы, частный пилот, пилот сверхлегкого воздушного судна и другие):</w:t>
            </w:r>
          </w:p>
        </w:tc>
      </w:tr>
      <w:tr>
        <w:tblPrEx>
          <w:tblBorders>
            <w:insideV w:val="nil"/>
            <w:insideH w:val="nil"/>
          </w:tblBorders>
        </w:tblPrEx>
        <w:tc>
          <w:tcPr>
            <w:tcW w:w="641" w:type="dxa"/>
            <w:tcBorders>
              <w:top w:val="nil"/>
              <w:left w:val="single" w:sz="4"/>
              <w:bottom w:val="nil"/>
            </w:tcBorders>
          </w:tcPr>
          <w:p>
            <w:pPr>
              <w:pStyle w:val="0"/>
            </w:pPr>
            <w:r>
              <w:rPr>
                <w:sz w:val="20"/>
              </w:rPr>
              <w:t xml:space="preserve">Да</w:t>
            </w:r>
          </w:p>
        </w:tc>
        <w:tc>
          <w:tcPr>
            <w:tcW w:w="640" w:type="dxa"/>
            <w:tcBorders>
              <w:top w:val="nil"/>
              <w:bottom w:val="nil"/>
            </w:tcBorders>
          </w:tcPr>
          <w:p>
            <w:pPr>
              <w:pStyle w:val="0"/>
            </w:pPr>
            <w:r>
              <w:rPr>
                <w:sz w:val="20"/>
              </w:rPr>
              <w:t xml:space="preserve">Дата:</w:t>
            </w:r>
          </w:p>
        </w:tc>
        <w:tc>
          <w:tcPr>
            <w:gridSpan w:val="12"/>
            <w:tcW w:w="3723" w:type="dxa"/>
            <w:tcBorders>
              <w:top w:val="nil"/>
              <w:bottom w:val="nil"/>
              <w:right w:val="single" w:sz="4"/>
            </w:tcBorders>
          </w:tcPr>
          <w:p>
            <w:pPr>
              <w:pStyle w:val="0"/>
              <w:jc w:val="center"/>
            </w:pPr>
            <w:r>
              <w:rPr>
                <w:sz w:val="20"/>
              </w:rPr>
              <w:t xml:space="preserve">Место:</w:t>
            </w:r>
          </w:p>
        </w:tc>
        <w:tc>
          <w:tcPr>
            <w:gridSpan w:val="8"/>
            <w:tcBorders>
              <w:left w:val="single" w:sz="4"/>
              <w:right w:val="single" w:sz="4"/>
            </w:tcBorders>
            <w:vMerge w:val="continue"/>
          </w:tcPr>
          <w:p/>
        </w:tc>
      </w:tr>
      <w:tr>
        <w:tc>
          <w:tcPr>
            <w:gridSpan w:val="14"/>
            <w:tcW w:w="5004" w:type="dxa"/>
            <w:vAlign w:val="bottom"/>
            <w:tcBorders>
              <w:top w:val="nil"/>
            </w:tcBorders>
          </w:tcPr>
          <w:p>
            <w:pPr>
              <w:pStyle w:val="0"/>
            </w:pPr>
            <w:r>
              <w:rPr>
                <w:sz w:val="20"/>
              </w:rPr>
              <w:t xml:space="preserve">Подробнее:</w:t>
            </w:r>
          </w:p>
        </w:tc>
        <w:tc>
          <w:tcPr>
            <w:gridSpan w:val="8"/>
            <w:vMerge w:val="continue"/>
          </w:tcPr>
          <w:p/>
        </w:tc>
      </w:tr>
      <w:tr>
        <w:tblPrEx>
          <w:tblBorders>
            <w:insideH w:val="nil"/>
          </w:tblBorders>
        </w:tblPrEx>
        <w:tc>
          <w:tcPr>
            <w:gridSpan w:val="22"/>
            <w:tcW w:w="9067" w:type="dxa"/>
            <w:tcBorders>
              <w:bottom w:val="nil"/>
            </w:tcBorders>
          </w:tcPr>
          <w:p>
            <w:pPr>
              <w:pStyle w:val="0"/>
            </w:pPr>
            <w:r>
              <w:rPr>
                <w:sz w:val="20"/>
              </w:rPr>
              <w:t xml:space="preserve">Имели ли место отстранения на предполетном (предсменном) медицинском осмотре:</w:t>
            </w:r>
          </w:p>
        </w:tc>
      </w:tr>
      <w:tr>
        <w:tblPrEx>
          <w:tblBorders>
            <w:insideV w:val="nil"/>
            <w:insideH w:val="nil"/>
          </w:tblBorders>
        </w:tblPrEx>
        <w:tc>
          <w:tcPr>
            <w:gridSpan w:val="2"/>
            <w:tcW w:w="1281" w:type="dxa"/>
            <w:tcBorders>
              <w:top w:val="nil"/>
              <w:left w:val="single" w:sz="4"/>
              <w:bottom w:val="nil"/>
            </w:tcBorders>
          </w:tcPr>
          <w:p>
            <w:pPr>
              <w:pStyle w:val="0"/>
            </w:pPr>
            <w:r>
              <w:rPr>
                <w:sz w:val="20"/>
              </w:rPr>
              <w:t xml:space="preserve">Нет</w:t>
            </w:r>
          </w:p>
        </w:tc>
        <w:tc>
          <w:tcPr>
            <w:gridSpan w:val="3"/>
            <w:tcW w:w="1002" w:type="dxa"/>
            <w:tcBorders>
              <w:top w:val="nil"/>
              <w:bottom w:val="nil"/>
            </w:tcBorders>
          </w:tcPr>
          <w:p>
            <w:pPr>
              <w:pStyle w:val="0"/>
            </w:pPr>
            <w:r>
              <w:rPr>
                <w:sz w:val="20"/>
              </w:rPr>
              <w:t xml:space="preserve">Да</w:t>
            </w:r>
          </w:p>
        </w:tc>
        <w:tc>
          <w:tcPr>
            <w:gridSpan w:val="3"/>
            <w:tcW w:w="1050" w:type="dxa"/>
            <w:tcBorders>
              <w:top w:val="nil"/>
              <w:bottom w:val="nil"/>
            </w:tcBorders>
          </w:tcPr>
          <w:p>
            <w:pPr>
              <w:pStyle w:val="0"/>
            </w:pPr>
            <w:r>
              <w:rPr>
                <w:sz w:val="20"/>
              </w:rPr>
              <w:t xml:space="preserve">Дата:</w:t>
            </w:r>
          </w:p>
        </w:tc>
        <w:tc>
          <w:tcPr>
            <w:gridSpan w:val="14"/>
            <w:tcW w:w="5734" w:type="dxa"/>
            <w:tcBorders>
              <w:top w:val="nil"/>
              <w:bottom w:val="nil"/>
              <w:right w:val="single" w:sz="4"/>
            </w:tcBorders>
          </w:tcPr>
          <w:p>
            <w:pPr>
              <w:pStyle w:val="0"/>
            </w:pPr>
            <w:r>
              <w:rPr>
                <w:sz w:val="20"/>
              </w:rPr>
              <w:t xml:space="preserve">Место:</w:t>
            </w:r>
          </w:p>
        </w:tc>
      </w:tr>
      <w:tr>
        <w:tblPrEx>
          <w:tblBorders>
            <w:insideH w:val="nil"/>
          </w:tblBorders>
        </w:tblPrEx>
        <w:tc>
          <w:tcPr>
            <w:gridSpan w:val="22"/>
            <w:tcW w:w="9067" w:type="dxa"/>
            <w:tcBorders>
              <w:top w:val="nil"/>
            </w:tcBorders>
          </w:tcPr>
          <w:p>
            <w:pPr>
              <w:pStyle w:val="0"/>
            </w:pPr>
            <w:r>
              <w:rPr>
                <w:sz w:val="20"/>
              </w:rPr>
              <w:t xml:space="preserve">Причина:</w:t>
            </w:r>
          </w:p>
        </w:tc>
      </w:tr>
      <w:tr>
        <w:tc>
          <w:tcPr>
            <w:gridSpan w:val="14"/>
            <w:tcW w:w="5004" w:type="dxa"/>
          </w:tcPr>
          <w:p>
            <w:pPr>
              <w:pStyle w:val="0"/>
            </w:pPr>
            <w:r>
              <w:rPr>
                <w:sz w:val="20"/>
              </w:rPr>
              <w:t xml:space="preserve">Предполагаемый тип полетов: одночленный экипаж,</w:t>
            </w:r>
          </w:p>
          <w:p>
            <w:pPr>
              <w:pStyle w:val="0"/>
            </w:pPr>
            <w:r>
              <w:rPr>
                <w:sz w:val="20"/>
              </w:rPr>
              <w:t xml:space="preserve">многочленный экипаж</w:t>
            </w:r>
          </w:p>
        </w:tc>
        <w:tc>
          <w:tcPr>
            <w:gridSpan w:val="8"/>
            <w:tcW w:w="4063" w:type="dxa"/>
            <w:tcBorders>
              <w:bottom w:val="nil"/>
            </w:tcBorders>
          </w:tcPr>
          <w:p>
            <w:pPr>
              <w:pStyle w:val="0"/>
            </w:pPr>
            <w:r>
              <w:rPr>
                <w:sz w:val="20"/>
              </w:rPr>
              <w:t xml:space="preserve">Принимаете ли Вы в настоящее время какие-либо лекарственные препараты, включая безрецептурные:</w:t>
            </w:r>
          </w:p>
        </w:tc>
      </w:tr>
      <w:tr>
        <w:tblPrEx>
          <w:tblBorders>
            <w:insideV w:val="nil"/>
            <w:insideH w:val="nil"/>
          </w:tblBorders>
        </w:tblPrEx>
        <w:tc>
          <w:tcPr>
            <w:gridSpan w:val="14"/>
            <w:tcW w:w="5004" w:type="dxa"/>
            <w:tcBorders>
              <w:left w:val="single" w:sz="4"/>
              <w:right w:val="single" w:sz="4"/>
            </w:tcBorders>
            <w:vMerge w:val="restart"/>
          </w:tcPr>
          <w:p>
            <w:pPr>
              <w:pStyle w:val="0"/>
            </w:pPr>
            <w:r>
              <w:rPr>
                <w:sz w:val="20"/>
              </w:rPr>
              <w:t xml:space="preserve">Употребляете ли Вы спиртные напитки?: Да Нет</w:t>
            </w:r>
          </w:p>
          <w:p>
            <w:pPr>
              <w:pStyle w:val="0"/>
            </w:pPr>
            <w:r>
              <w:rPr>
                <w:sz w:val="20"/>
              </w:rPr>
              <w:t xml:space="preserve">Если "Да", укажите среднее потребление за месяц (в ед. изм.)</w:t>
            </w:r>
          </w:p>
        </w:tc>
        <w:tc>
          <w:tcPr>
            <w:gridSpan w:val="3"/>
            <w:tcW w:w="920" w:type="dxa"/>
            <w:tcBorders>
              <w:top w:val="nil"/>
              <w:left w:val="single" w:sz="4"/>
              <w:bottom w:val="nil"/>
            </w:tcBorders>
          </w:tcPr>
          <w:p>
            <w:pPr>
              <w:pStyle w:val="0"/>
            </w:pPr>
            <w:r>
              <w:rPr>
                <w:sz w:val="20"/>
              </w:rPr>
              <w:t xml:space="preserve">Нет</w:t>
            </w:r>
          </w:p>
        </w:tc>
        <w:tc>
          <w:tcPr>
            <w:gridSpan w:val="5"/>
            <w:tcW w:w="3143" w:type="dxa"/>
            <w:tcBorders>
              <w:top w:val="nil"/>
              <w:bottom w:val="nil"/>
              <w:right w:val="single" w:sz="4"/>
            </w:tcBorders>
          </w:tcPr>
          <w:p>
            <w:pPr>
              <w:pStyle w:val="0"/>
            </w:pPr>
            <w:r>
              <w:rPr>
                <w:sz w:val="20"/>
              </w:rPr>
              <w:t xml:space="preserve">Да</w:t>
            </w:r>
          </w:p>
        </w:tc>
      </w:tr>
      <w:tr>
        <w:tblPrEx>
          <w:tblBorders>
            <w:insideH w:val="nil"/>
          </w:tblBorders>
        </w:tblPrEx>
        <w:tc>
          <w:tcPr>
            <w:gridSpan w:val="14"/>
            <w:vMerge w:val="continue"/>
          </w:tcPr>
          <w:p/>
        </w:tc>
        <w:tc>
          <w:tcPr>
            <w:gridSpan w:val="8"/>
            <w:tcW w:w="4063" w:type="dxa"/>
            <w:tcBorders>
              <w:top w:val="nil"/>
            </w:tcBorders>
            <w:vMerge w:val="restart"/>
          </w:tcPr>
          <w:p>
            <w:pPr>
              <w:pStyle w:val="0"/>
            </w:pPr>
            <w:r>
              <w:rPr>
                <w:sz w:val="20"/>
              </w:rPr>
              <w:t xml:space="preserve">Если "Да", укажите какие, дату начала, суточную дозировку и причину (диагноз):</w:t>
            </w:r>
          </w:p>
        </w:tc>
      </w:tr>
      <w:tr>
        <w:tc>
          <w:tcPr>
            <w:gridSpan w:val="4"/>
            <w:tcW w:w="2154" w:type="dxa"/>
            <w:vMerge w:val="restart"/>
          </w:tcPr>
          <w:p>
            <w:pPr>
              <w:pStyle w:val="0"/>
              <w:jc w:val="center"/>
            </w:pPr>
            <w:r>
              <w:rPr>
                <w:sz w:val="20"/>
              </w:rPr>
              <w:t xml:space="preserve">Курите ли Вы табачные изделия?:</w:t>
            </w:r>
          </w:p>
          <w:p>
            <w:pPr>
              <w:pStyle w:val="0"/>
              <w:jc w:val="center"/>
            </w:pPr>
            <w:r>
              <w:rPr>
                <w:sz w:val="20"/>
              </w:rPr>
              <w:t xml:space="preserve">Никогда раньше, дата прекращения</w:t>
            </w:r>
          </w:p>
          <w:p>
            <w:pPr>
              <w:pStyle w:val="0"/>
              <w:jc w:val="center"/>
            </w:pPr>
            <w:r>
              <w:rPr>
                <w:sz w:val="20"/>
              </w:rPr>
              <w:t xml:space="preserve">В настоящее время</w:t>
            </w:r>
          </w:p>
          <w:p>
            <w:pPr>
              <w:pStyle w:val="0"/>
              <w:jc w:val="center"/>
            </w:pPr>
            <w:r>
              <w:rPr>
                <w:sz w:val="20"/>
              </w:rPr>
              <w:t xml:space="preserve">(кол-во в день и число лет)</w:t>
            </w:r>
          </w:p>
        </w:tc>
        <w:tc>
          <w:tcPr>
            <w:gridSpan w:val="10"/>
            <w:tcW w:w="2850" w:type="dxa"/>
          </w:tcPr>
          <w:p>
            <w:pPr>
              <w:pStyle w:val="0"/>
            </w:pPr>
            <w:r>
              <w:rPr>
                <w:sz w:val="20"/>
              </w:rPr>
              <w:t xml:space="preserve">Фамилия, инициалы, телефон авиационного врача</w:t>
            </w:r>
          </w:p>
        </w:tc>
        <w:tc>
          <w:tcPr>
            <w:gridSpan w:val="8"/>
            <w:tcBorders>
              <w:top w:val="nil"/>
            </w:tcBorders>
            <w:vMerge w:val="continue"/>
          </w:tcPr>
          <w:p/>
        </w:tc>
      </w:tr>
      <w:tr>
        <w:tc>
          <w:tcPr>
            <w:gridSpan w:val="4"/>
            <w:vMerge w:val="continue"/>
          </w:tcPr>
          <w:p/>
        </w:tc>
        <w:tc>
          <w:tcPr>
            <w:gridSpan w:val="10"/>
            <w:tcW w:w="2850" w:type="dxa"/>
            <w:tcBorders>
              <w:bottom w:val="nil"/>
            </w:tcBorders>
          </w:tcPr>
          <w:p>
            <w:pPr>
              <w:pStyle w:val="0"/>
            </w:pPr>
            <w:r>
              <w:rPr>
                <w:sz w:val="20"/>
              </w:rPr>
              <w:t xml:space="preserve">Имеете ли вы профессиональное заболевание?</w:t>
            </w:r>
          </w:p>
        </w:tc>
        <w:tc>
          <w:tcPr>
            <w:gridSpan w:val="8"/>
            <w:tcW w:w="4063" w:type="dxa"/>
            <w:vMerge w:val="restart"/>
          </w:tcPr>
          <w:p>
            <w:pPr>
              <w:pStyle w:val="1"/>
              <w:jc w:val="both"/>
            </w:pPr>
            <w:r>
              <w:rPr>
                <w:sz w:val="20"/>
              </w:rPr>
              <w:t xml:space="preserve">Имеете заключение об утрате</w:t>
            </w:r>
          </w:p>
          <w:p>
            <w:pPr>
              <w:pStyle w:val="1"/>
              <w:jc w:val="both"/>
            </w:pPr>
            <w:r>
              <w:rPr>
                <w:sz w:val="20"/>
              </w:rPr>
              <w:t xml:space="preserve">профессиональной</w:t>
            </w:r>
          </w:p>
          <w:p>
            <w:pPr>
              <w:pStyle w:val="1"/>
              <w:jc w:val="both"/>
            </w:pPr>
            <w:r>
              <w:rPr>
                <w:sz w:val="20"/>
              </w:rPr>
              <w:t xml:space="preserve">трудоспособности или</w:t>
            </w:r>
          </w:p>
          <w:p>
            <w:pPr>
              <w:pStyle w:val="1"/>
              <w:jc w:val="both"/>
            </w:pPr>
            <w:r>
              <w:rPr>
                <w:sz w:val="20"/>
              </w:rPr>
              <w:t xml:space="preserve">инвалидность?   Нет    Да</w:t>
            </w:r>
          </w:p>
        </w:tc>
      </w:tr>
      <w:tr>
        <w:tblPrEx>
          <w:tblBorders>
            <w:insideH w:val="nil"/>
          </w:tblBorders>
        </w:tblPrEx>
        <w:tc>
          <w:tcPr>
            <w:gridSpan w:val="4"/>
            <w:vMerge w:val="continue"/>
          </w:tcPr>
          <w:p/>
        </w:tc>
        <w:tc>
          <w:tcPr>
            <w:gridSpan w:val="5"/>
            <w:tcW w:w="1309" w:type="dxa"/>
            <w:tcBorders>
              <w:top w:val="nil"/>
              <w:right w:val="nil"/>
            </w:tcBorders>
          </w:tcPr>
          <w:p>
            <w:pPr>
              <w:pStyle w:val="0"/>
            </w:pPr>
            <w:r>
              <w:rPr>
                <w:sz w:val="20"/>
              </w:rPr>
              <w:t xml:space="preserve">Нет</w:t>
            </w:r>
          </w:p>
        </w:tc>
        <w:tc>
          <w:tcPr>
            <w:gridSpan w:val="5"/>
            <w:tcW w:w="1541" w:type="dxa"/>
            <w:tcBorders>
              <w:top w:val="nil"/>
              <w:left w:val="nil"/>
            </w:tcBorders>
          </w:tcPr>
          <w:p>
            <w:pPr>
              <w:pStyle w:val="0"/>
            </w:pPr>
            <w:r>
              <w:rPr>
                <w:sz w:val="20"/>
              </w:rPr>
              <w:t xml:space="preserve">Да</w:t>
            </w:r>
          </w:p>
        </w:tc>
        <w:tc>
          <w:tcPr>
            <w:gridSpan w:val="8"/>
            <w:vMerge w:val="continue"/>
          </w:tcPr>
          <w:p/>
        </w:tc>
      </w:tr>
    </w:tbl>
    <w:p>
      <w:pPr>
        <w:pStyle w:val="0"/>
        <w:jc w:val="both"/>
      </w:pPr>
      <w:r>
        <w:rPr>
          <w:sz w:val="20"/>
        </w:rPr>
      </w:r>
    </w:p>
    <w:p>
      <w:pPr>
        <w:pStyle w:val="0"/>
        <w:outlineLvl w:val="2"/>
        <w:jc w:val="right"/>
      </w:pPr>
      <w:r>
        <w:rPr>
          <w:sz w:val="20"/>
        </w:rPr>
        <w:t xml:space="preserve">Оборотная сторона</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60"/>
        <w:gridCol w:w="432"/>
        <w:gridCol w:w="340"/>
        <w:gridCol w:w="1795"/>
        <w:gridCol w:w="374"/>
        <w:gridCol w:w="340"/>
        <w:gridCol w:w="1848"/>
        <w:gridCol w:w="446"/>
        <w:gridCol w:w="398"/>
        <w:gridCol w:w="797"/>
        <w:gridCol w:w="1046"/>
        <w:gridCol w:w="427"/>
        <w:gridCol w:w="590"/>
      </w:tblGrid>
      <w:tr>
        <w:tc>
          <w:tcPr>
            <w:tcW w:w="1560" w:type="dxa"/>
          </w:tcPr>
          <w:p>
            <w:pPr>
              <w:pStyle w:val="0"/>
            </w:pPr>
            <w:r>
              <w:rPr>
                <w:sz w:val="20"/>
              </w:rPr>
            </w:r>
          </w:p>
        </w:tc>
        <w:tc>
          <w:tcPr>
            <w:tcW w:w="432" w:type="dxa"/>
          </w:tcPr>
          <w:p>
            <w:pPr>
              <w:pStyle w:val="0"/>
              <w:jc w:val="center"/>
            </w:pPr>
            <w:r>
              <w:rPr>
                <w:sz w:val="20"/>
              </w:rPr>
              <w:t xml:space="preserve">Да</w:t>
            </w:r>
          </w:p>
        </w:tc>
        <w:tc>
          <w:tcPr>
            <w:tcW w:w="340" w:type="dxa"/>
          </w:tcPr>
          <w:p>
            <w:pPr>
              <w:pStyle w:val="0"/>
              <w:jc w:val="center"/>
            </w:pPr>
            <w:r>
              <w:rPr>
                <w:sz w:val="20"/>
              </w:rPr>
              <w:t xml:space="preserve">Нет</w:t>
            </w:r>
          </w:p>
        </w:tc>
        <w:tc>
          <w:tcPr>
            <w:tcW w:w="1795" w:type="dxa"/>
          </w:tcPr>
          <w:p>
            <w:pPr>
              <w:pStyle w:val="0"/>
            </w:pPr>
            <w:r>
              <w:rPr>
                <w:sz w:val="20"/>
              </w:rPr>
            </w:r>
          </w:p>
        </w:tc>
        <w:tc>
          <w:tcPr>
            <w:tcW w:w="374" w:type="dxa"/>
          </w:tcPr>
          <w:p>
            <w:pPr>
              <w:pStyle w:val="0"/>
              <w:jc w:val="center"/>
            </w:pPr>
            <w:r>
              <w:rPr>
                <w:sz w:val="20"/>
              </w:rPr>
              <w:t xml:space="preserve">Да</w:t>
            </w:r>
          </w:p>
        </w:tc>
        <w:tc>
          <w:tcPr>
            <w:tcW w:w="340" w:type="dxa"/>
          </w:tcPr>
          <w:p>
            <w:pPr>
              <w:pStyle w:val="0"/>
              <w:jc w:val="center"/>
            </w:pPr>
            <w:r>
              <w:rPr>
                <w:sz w:val="20"/>
              </w:rPr>
              <w:t xml:space="preserve">Нет</w:t>
            </w:r>
          </w:p>
        </w:tc>
        <w:tc>
          <w:tcPr>
            <w:tcW w:w="1848" w:type="dxa"/>
          </w:tcPr>
          <w:p>
            <w:pPr>
              <w:pStyle w:val="0"/>
            </w:pPr>
            <w:r>
              <w:rPr>
                <w:sz w:val="20"/>
              </w:rPr>
            </w:r>
          </w:p>
        </w:tc>
        <w:tc>
          <w:tcPr>
            <w:tcW w:w="446" w:type="dxa"/>
          </w:tcPr>
          <w:p>
            <w:pPr>
              <w:pStyle w:val="0"/>
              <w:jc w:val="center"/>
            </w:pPr>
            <w:r>
              <w:rPr>
                <w:sz w:val="20"/>
              </w:rPr>
              <w:t xml:space="preserve">Да</w:t>
            </w:r>
          </w:p>
        </w:tc>
        <w:tc>
          <w:tcPr>
            <w:tcW w:w="398" w:type="dxa"/>
          </w:tcPr>
          <w:p>
            <w:pPr>
              <w:pStyle w:val="0"/>
              <w:jc w:val="center"/>
            </w:pPr>
            <w:r>
              <w:rPr>
                <w:sz w:val="20"/>
              </w:rPr>
              <w:t xml:space="preserve">Нет</w:t>
            </w:r>
          </w:p>
        </w:tc>
        <w:tc>
          <w:tcPr>
            <w:gridSpan w:val="2"/>
            <w:tcW w:w="1843" w:type="dxa"/>
          </w:tcPr>
          <w:p>
            <w:pPr>
              <w:pStyle w:val="0"/>
            </w:pPr>
            <w:r>
              <w:rPr>
                <w:sz w:val="20"/>
              </w:rPr>
            </w:r>
          </w:p>
        </w:tc>
        <w:tc>
          <w:tcPr>
            <w:tcW w:w="427" w:type="dxa"/>
          </w:tcPr>
          <w:p>
            <w:pPr>
              <w:pStyle w:val="0"/>
              <w:jc w:val="center"/>
            </w:pPr>
            <w:r>
              <w:rPr>
                <w:sz w:val="20"/>
              </w:rPr>
              <w:t xml:space="preserve">Да</w:t>
            </w:r>
          </w:p>
        </w:tc>
        <w:tc>
          <w:tcPr>
            <w:tcW w:w="590" w:type="dxa"/>
          </w:tcPr>
          <w:p>
            <w:pPr>
              <w:pStyle w:val="0"/>
              <w:jc w:val="center"/>
            </w:pPr>
            <w:r>
              <w:rPr>
                <w:sz w:val="20"/>
              </w:rPr>
              <w:t xml:space="preserve">Нет</w:t>
            </w:r>
          </w:p>
        </w:tc>
      </w:tr>
      <w:tr>
        <w:tc>
          <w:tcPr>
            <w:tcW w:w="1560" w:type="dxa"/>
            <w:vAlign w:val="center"/>
          </w:tcPr>
          <w:p>
            <w:pPr>
              <w:pStyle w:val="0"/>
            </w:pPr>
            <w:r>
              <w:rPr>
                <w:sz w:val="20"/>
              </w:rPr>
              <w:t xml:space="preserve">Расстройство зрения, глазная хирургия</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Заболевания сердца, боли в сердце, перебои в работе сердца</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tcPr>
          <w:p>
            <w:pPr>
              <w:pStyle w:val="0"/>
            </w:pPr>
            <w:r>
              <w:rPr>
                <w:sz w:val="20"/>
              </w:rPr>
              <w:t xml:space="preserve">Малярия или другое тропическое заболевание</w:t>
            </w:r>
          </w:p>
        </w:tc>
        <w:tc>
          <w:tcPr>
            <w:tcW w:w="446" w:type="dxa"/>
            <w:vAlign w:val="center"/>
          </w:tcPr>
          <w:p>
            <w:pPr>
              <w:pStyle w:val="0"/>
            </w:pPr>
            <w:r>
              <w:rPr>
                <w:sz w:val="20"/>
              </w:rPr>
            </w:r>
          </w:p>
        </w:tc>
        <w:tc>
          <w:tcPr>
            <w:tcW w:w="398" w:type="dxa"/>
            <w:vAlign w:val="center"/>
          </w:tcPr>
          <w:p>
            <w:pPr>
              <w:pStyle w:val="0"/>
            </w:pPr>
            <w:r>
              <w:rPr>
                <w:sz w:val="20"/>
              </w:rPr>
            </w:r>
          </w:p>
        </w:tc>
        <w:tc>
          <w:tcPr>
            <w:gridSpan w:val="2"/>
            <w:tcW w:w="1843" w:type="dxa"/>
            <w:vAlign w:val="center"/>
          </w:tcPr>
          <w:p>
            <w:pPr>
              <w:pStyle w:val="0"/>
            </w:pPr>
            <w:r>
              <w:rPr>
                <w:sz w:val="20"/>
              </w:rPr>
              <w:t xml:space="preserve">Заболевания сердца, случаи внезапной сердечной смерти, диабет, инсульты у родителей, бабушек и дедушек</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Ношение очков и/или контакт. линз</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Злоупотребление наркотиками, алкоголем</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tcPr>
          <w:p>
            <w:pPr>
              <w:pStyle w:val="0"/>
            </w:pPr>
            <w:r>
              <w:rPr>
                <w:sz w:val="20"/>
              </w:rPr>
              <w:t xml:space="preserve">Положительный результат анализа ВИЧ</w:t>
            </w:r>
          </w:p>
        </w:tc>
        <w:tc>
          <w:tcPr>
            <w:tcW w:w="446" w:type="dxa"/>
            <w:vAlign w:val="center"/>
          </w:tcPr>
          <w:p>
            <w:pPr>
              <w:pStyle w:val="0"/>
            </w:pPr>
            <w:r>
              <w:rPr>
                <w:sz w:val="20"/>
              </w:rPr>
            </w:r>
          </w:p>
        </w:tc>
        <w:tc>
          <w:tcPr>
            <w:tcW w:w="398" w:type="dxa"/>
            <w:vAlign w:val="center"/>
          </w:tcPr>
          <w:p>
            <w:pPr>
              <w:pStyle w:val="0"/>
            </w:pPr>
            <w:r>
              <w:rPr>
                <w:sz w:val="20"/>
              </w:rPr>
            </w:r>
          </w:p>
        </w:tc>
        <w:tc>
          <w:tcPr>
            <w:gridSpan w:val="2"/>
            <w:tcW w:w="1843" w:type="dxa"/>
            <w:vAlign w:val="center"/>
          </w:tcPr>
          <w:p>
            <w:pPr>
              <w:pStyle w:val="0"/>
            </w:pPr>
            <w:r>
              <w:rPr>
                <w:sz w:val="20"/>
              </w:rPr>
              <w:t xml:space="preserve">Аллергия, астма, экзема</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Изменения в рецепте на очки, конт. линзы</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Частая или сильная головная боль</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tcPr>
          <w:p>
            <w:pPr>
              <w:pStyle w:val="0"/>
            </w:pPr>
            <w:r>
              <w:rPr>
                <w:sz w:val="20"/>
              </w:rPr>
              <w:t xml:space="preserve">Заболевания, передаваемые половым путем</w:t>
            </w:r>
          </w:p>
        </w:tc>
        <w:tc>
          <w:tcPr>
            <w:tcW w:w="446" w:type="dxa"/>
            <w:vAlign w:val="center"/>
          </w:tcPr>
          <w:p>
            <w:pPr>
              <w:pStyle w:val="0"/>
            </w:pPr>
            <w:r>
              <w:rPr>
                <w:sz w:val="20"/>
              </w:rPr>
            </w:r>
          </w:p>
        </w:tc>
        <w:tc>
          <w:tcPr>
            <w:tcW w:w="398" w:type="dxa"/>
            <w:vAlign w:val="center"/>
          </w:tcPr>
          <w:p>
            <w:pPr>
              <w:pStyle w:val="0"/>
            </w:pPr>
            <w:r>
              <w:rPr>
                <w:sz w:val="20"/>
              </w:rPr>
            </w:r>
          </w:p>
        </w:tc>
        <w:tc>
          <w:tcPr>
            <w:gridSpan w:val="2"/>
            <w:tcW w:w="1843" w:type="dxa"/>
            <w:vAlign w:val="center"/>
          </w:tcPr>
          <w:p>
            <w:pPr>
              <w:pStyle w:val="0"/>
            </w:pPr>
            <w:r>
              <w:rPr>
                <w:sz w:val="20"/>
              </w:rPr>
              <w:t xml:space="preserve">Гормональные нарушения</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Глаукома</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Головокружения или обмороки</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tcPr>
          <w:p>
            <w:pPr>
              <w:pStyle w:val="0"/>
            </w:pPr>
            <w:r>
              <w:rPr>
                <w:sz w:val="20"/>
              </w:rPr>
              <w:t xml:space="preserve">Пребывание в больнице</w:t>
            </w:r>
          </w:p>
        </w:tc>
        <w:tc>
          <w:tcPr>
            <w:tcW w:w="446" w:type="dxa"/>
            <w:vAlign w:val="center"/>
          </w:tcPr>
          <w:p>
            <w:pPr>
              <w:pStyle w:val="0"/>
            </w:pPr>
            <w:r>
              <w:rPr>
                <w:sz w:val="20"/>
              </w:rPr>
            </w:r>
          </w:p>
        </w:tc>
        <w:tc>
          <w:tcPr>
            <w:tcW w:w="398" w:type="dxa"/>
            <w:vAlign w:val="center"/>
          </w:tcPr>
          <w:p>
            <w:pPr>
              <w:pStyle w:val="0"/>
            </w:pPr>
            <w:r>
              <w:rPr>
                <w:sz w:val="20"/>
              </w:rPr>
            </w:r>
          </w:p>
        </w:tc>
        <w:tc>
          <w:tcPr>
            <w:gridSpan w:val="2"/>
            <w:tcW w:w="1843" w:type="dxa"/>
            <w:vAlign w:val="center"/>
          </w:tcPr>
          <w:p>
            <w:pPr>
              <w:pStyle w:val="0"/>
            </w:pPr>
            <w:r>
              <w:rPr>
                <w:sz w:val="20"/>
              </w:rPr>
              <w:t xml:space="preserve">Расстройство желудка, печени, кишечника</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Диабет</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Потеря сознания по любой причине</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tcPr>
          <w:p>
            <w:pPr>
              <w:pStyle w:val="0"/>
            </w:pPr>
            <w:r>
              <w:rPr>
                <w:sz w:val="20"/>
              </w:rPr>
              <w:t xml:space="preserve">Любые другие заболевания или травмы</w:t>
            </w:r>
          </w:p>
        </w:tc>
        <w:tc>
          <w:tcPr>
            <w:tcW w:w="446" w:type="dxa"/>
            <w:vAlign w:val="center"/>
          </w:tcPr>
          <w:p>
            <w:pPr>
              <w:pStyle w:val="0"/>
            </w:pPr>
            <w:r>
              <w:rPr>
                <w:sz w:val="20"/>
              </w:rPr>
            </w:r>
          </w:p>
        </w:tc>
        <w:tc>
          <w:tcPr>
            <w:tcW w:w="398" w:type="dxa"/>
            <w:vAlign w:val="center"/>
          </w:tcPr>
          <w:p>
            <w:pPr>
              <w:pStyle w:val="0"/>
            </w:pPr>
            <w:r>
              <w:rPr>
                <w:sz w:val="20"/>
              </w:rPr>
            </w:r>
          </w:p>
        </w:tc>
        <w:tc>
          <w:tcPr>
            <w:gridSpan w:val="2"/>
            <w:tcW w:w="1843" w:type="dxa"/>
            <w:vAlign w:val="center"/>
          </w:tcPr>
          <w:p>
            <w:pPr>
              <w:pStyle w:val="0"/>
            </w:pPr>
            <w:r>
              <w:rPr>
                <w:sz w:val="20"/>
              </w:rPr>
              <w:t xml:space="preserve">Эпилепсия, судороги в прошлом</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Повышенное артериальное давление</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Неврологические заболевания</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tcPr>
          <w:p>
            <w:pPr>
              <w:pStyle w:val="0"/>
            </w:pPr>
            <w:r>
              <w:rPr>
                <w:sz w:val="20"/>
              </w:rPr>
              <w:t xml:space="preserve">Посещение врача в межкомиссионный период</w:t>
            </w:r>
          </w:p>
        </w:tc>
        <w:tc>
          <w:tcPr>
            <w:tcW w:w="446" w:type="dxa"/>
            <w:vAlign w:val="center"/>
          </w:tcPr>
          <w:p>
            <w:pPr>
              <w:pStyle w:val="0"/>
            </w:pPr>
            <w:r>
              <w:rPr>
                <w:sz w:val="20"/>
              </w:rPr>
            </w:r>
          </w:p>
        </w:tc>
        <w:tc>
          <w:tcPr>
            <w:tcW w:w="398" w:type="dxa"/>
            <w:vAlign w:val="center"/>
          </w:tcPr>
          <w:p>
            <w:pPr>
              <w:pStyle w:val="0"/>
            </w:pPr>
            <w:r>
              <w:rPr>
                <w:sz w:val="20"/>
              </w:rPr>
            </w:r>
          </w:p>
        </w:tc>
        <w:tc>
          <w:tcPr>
            <w:gridSpan w:val="2"/>
            <w:tcW w:w="1843" w:type="dxa"/>
            <w:vAlign w:val="center"/>
          </w:tcPr>
          <w:p>
            <w:pPr>
              <w:pStyle w:val="0"/>
            </w:pPr>
            <w:r>
              <w:rPr>
                <w:sz w:val="20"/>
              </w:rPr>
              <w:t xml:space="preserve">Почечный камень, кровь в моче</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vMerge w:val="restart"/>
          </w:tcPr>
          <w:p>
            <w:pPr>
              <w:pStyle w:val="0"/>
            </w:pPr>
            <w:r>
              <w:rPr>
                <w:sz w:val="20"/>
              </w:rPr>
              <w:t xml:space="preserve">Повышенный уровень холестерина</w:t>
            </w:r>
          </w:p>
        </w:tc>
        <w:tc>
          <w:tcPr>
            <w:tcW w:w="432" w:type="dxa"/>
            <w:vAlign w:val="center"/>
            <w:vMerge w:val="restart"/>
          </w:tcPr>
          <w:p>
            <w:pPr>
              <w:pStyle w:val="0"/>
            </w:pPr>
            <w:r>
              <w:rPr>
                <w:sz w:val="20"/>
              </w:rPr>
            </w:r>
          </w:p>
        </w:tc>
        <w:tc>
          <w:tcPr>
            <w:tcW w:w="340" w:type="dxa"/>
            <w:vAlign w:val="center"/>
            <w:vMerge w:val="restart"/>
          </w:tcPr>
          <w:p>
            <w:pPr>
              <w:pStyle w:val="0"/>
            </w:pPr>
            <w:r>
              <w:rPr>
                <w:sz w:val="20"/>
              </w:rPr>
            </w:r>
          </w:p>
        </w:tc>
        <w:tc>
          <w:tcPr>
            <w:tcW w:w="1795" w:type="dxa"/>
            <w:vAlign w:val="center"/>
            <w:vMerge w:val="restart"/>
          </w:tcPr>
          <w:p>
            <w:pPr>
              <w:pStyle w:val="0"/>
            </w:pPr>
            <w:r>
              <w:rPr>
                <w:sz w:val="20"/>
              </w:rPr>
              <w:t xml:space="preserve">Психологические и психиатрические проблемы</w:t>
            </w:r>
          </w:p>
        </w:tc>
        <w:tc>
          <w:tcPr>
            <w:tcW w:w="374" w:type="dxa"/>
            <w:vAlign w:val="center"/>
            <w:vMerge w:val="restart"/>
          </w:tcPr>
          <w:p>
            <w:pPr>
              <w:pStyle w:val="0"/>
            </w:pPr>
            <w:r>
              <w:rPr>
                <w:sz w:val="20"/>
              </w:rPr>
            </w:r>
          </w:p>
        </w:tc>
        <w:tc>
          <w:tcPr>
            <w:tcW w:w="340" w:type="dxa"/>
            <w:vAlign w:val="center"/>
            <w:vMerge w:val="restart"/>
          </w:tcPr>
          <w:p>
            <w:pPr>
              <w:pStyle w:val="0"/>
            </w:pPr>
            <w:r>
              <w:rPr>
                <w:sz w:val="20"/>
              </w:rPr>
            </w:r>
          </w:p>
        </w:tc>
        <w:tc>
          <w:tcPr>
            <w:tcW w:w="1848" w:type="dxa"/>
            <w:vAlign w:val="center"/>
            <w:vMerge w:val="restart"/>
          </w:tcPr>
          <w:p>
            <w:pPr>
              <w:pStyle w:val="0"/>
            </w:pPr>
            <w:r>
              <w:rPr>
                <w:sz w:val="20"/>
              </w:rPr>
              <w:t xml:space="preserve">Заболевания легких</w:t>
            </w:r>
          </w:p>
        </w:tc>
        <w:tc>
          <w:tcPr>
            <w:tcW w:w="446" w:type="dxa"/>
            <w:vAlign w:val="center"/>
            <w:vMerge w:val="restart"/>
          </w:tcPr>
          <w:p>
            <w:pPr>
              <w:pStyle w:val="0"/>
            </w:pPr>
            <w:r>
              <w:rPr>
                <w:sz w:val="20"/>
              </w:rPr>
            </w:r>
          </w:p>
        </w:tc>
        <w:tc>
          <w:tcPr>
            <w:tcW w:w="398" w:type="dxa"/>
            <w:vAlign w:val="center"/>
            <w:vMerge w:val="restart"/>
          </w:tcPr>
          <w:p>
            <w:pPr>
              <w:pStyle w:val="0"/>
            </w:pPr>
            <w:r>
              <w:rPr>
                <w:sz w:val="20"/>
              </w:rPr>
            </w:r>
          </w:p>
        </w:tc>
        <w:tc>
          <w:tcPr>
            <w:tcW w:w="797" w:type="dxa"/>
            <w:vAlign w:val="center"/>
            <w:vMerge w:val="restart"/>
          </w:tcPr>
          <w:p>
            <w:pPr>
              <w:pStyle w:val="0"/>
              <w:jc w:val="center"/>
            </w:pPr>
            <w:r>
              <w:rPr>
                <w:sz w:val="20"/>
              </w:rPr>
              <w:t xml:space="preserve">Прочее</w:t>
            </w:r>
          </w:p>
        </w:tc>
        <w:tc>
          <w:tcPr>
            <w:tcW w:w="1046" w:type="dxa"/>
            <w:vAlign w:val="center"/>
          </w:tcPr>
          <w:p>
            <w:pPr>
              <w:pStyle w:val="0"/>
            </w:pPr>
            <w:r>
              <w:rPr>
                <w:sz w:val="20"/>
              </w:rPr>
            </w:r>
          </w:p>
        </w:tc>
        <w:tc>
          <w:tcPr>
            <w:tcW w:w="427" w:type="dxa"/>
            <w:vAlign w:val="center"/>
          </w:tcPr>
          <w:p>
            <w:pPr>
              <w:pStyle w:val="0"/>
            </w:pPr>
            <w:r>
              <w:rPr>
                <w:sz w:val="20"/>
              </w:rPr>
            </w:r>
          </w:p>
        </w:tc>
        <w:tc>
          <w:tcPr>
            <w:tcW w:w="590" w:type="dxa"/>
            <w:vAlign w:val="center"/>
          </w:tcPr>
          <w:p>
            <w:pPr>
              <w:pStyle w:val="0"/>
            </w:pPr>
            <w:r>
              <w:rPr>
                <w:sz w:val="20"/>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46" w:type="dxa"/>
            <w:vAlign w:val="center"/>
          </w:tcPr>
          <w:p>
            <w:pPr>
              <w:pStyle w:val="0"/>
            </w:pPr>
            <w:r>
              <w:rPr>
                <w:sz w:val="20"/>
              </w:rPr>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vMerge w:val="restart"/>
          </w:tcPr>
          <w:p>
            <w:pPr>
              <w:pStyle w:val="0"/>
            </w:pPr>
            <w:r>
              <w:rPr>
                <w:sz w:val="20"/>
              </w:rPr>
              <w:t xml:space="preserve">Травмы головы или сотрясение мозга</w:t>
            </w:r>
          </w:p>
        </w:tc>
        <w:tc>
          <w:tcPr>
            <w:tcW w:w="432" w:type="dxa"/>
            <w:vAlign w:val="center"/>
            <w:vMerge w:val="restart"/>
          </w:tcPr>
          <w:p>
            <w:pPr>
              <w:pStyle w:val="0"/>
            </w:pPr>
            <w:r>
              <w:rPr>
                <w:sz w:val="20"/>
              </w:rPr>
            </w:r>
          </w:p>
        </w:tc>
        <w:tc>
          <w:tcPr>
            <w:tcW w:w="340" w:type="dxa"/>
            <w:vAlign w:val="center"/>
            <w:vMerge w:val="restart"/>
          </w:tcPr>
          <w:p>
            <w:pPr>
              <w:pStyle w:val="0"/>
            </w:pPr>
            <w:r>
              <w:rPr>
                <w:sz w:val="20"/>
              </w:rPr>
            </w:r>
          </w:p>
        </w:tc>
        <w:tc>
          <w:tcPr>
            <w:tcW w:w="1795" w:type="dxa"/>
            <w:vAlign w:val="center"/>
            <w:vMerge w:val="restart"/>
          </w:tcPr>
          <w:p>
            <w:pPr>
              <w:pStyle w:val="0"/>
            </w:pPr>
            <w:r>
              <w:rPr>
                <w:sz w:val="20"/>
              </w:rPr>
              <w:t xml:space="preserve">Укачивание, требующее приема лекарств</w:t>
            </w:r>
          </w:p>
        </w:tc>
        <w:tc>
          <w:tcPr>
            <w:tcW w:w="374" w:type="dxa"/>
            <w:vAlign w:val="center"/>
            <w:vMerge w:val="restart"/>
          </w:tcPr>
          <w:p>
            <w:pPr>
              <w:pStyle w:val="0"/>
            </w:pPr>
            <w:r>
              <w:rPr>
                <w:sz w:val="20"/>
              </w:rPr>
            </w:r>
          </w:p>
        </w:tc>
        <w:tc>
          <w:tcPr>
            <w:tcW w:w="340" w:type="dxa"/>
            <w:vAlign w:val="center"/>
            <w:vMerge w:val="restart"/>
          </w:tcPr>
          <w:p>
            <w:pPr>
              <w:pStyle w:val="0"/>
            </w:pPr>
            <w:r>
              <w:rPr>
                <w:sz w:val="20"/>
              </w:rPr>
            </w:r>
          </w:p>
        </w:tc>
        <w:tc>
          <w:tcPr>
            <w:tcW w:w="1848" w:type="dxa"/>
            <w:vAlign w:val="center"/>
            <w:vMerge w:val="restart"/>
          </w:tcPr>
          <w:p>
            <w:pPr>
              <w:pStyle w:val="0"/>
            </w:pPr>
            <w:r>
              <w:rPr>
                <w:sz w:val="20"/>
              </w:rPr>
              <w:t xml:space="preserve">Отказ в выдаче или отзыв свидетельства в прошлом</w:t>
            </w:r>
          </w:p>
        </w:tc>
        <w:tc>
          <w:tcPr>
            <w:tcW w:w="446" w:type="dxa"/>
            <w:vAlign w:val="center"/>
            <w:vMerge w:val="restart"/>
          </w:tcPr>
          <w:p>
            <w:pPr>
              <w:pStyle w:val="0"/>
            </w:pPr>
            <w:r>
              <w:rPr>
                <w:sz w:val="20"/>
              </w:rPr>
            </w:r>
          </w:p>
        </w:tc>
        <w:tc>
          <w:tcPr>
            <w:tcW w:w="398" w:type="dxa"/>
            <w:vAlign w:val="center"/>
            <w:vMerge w:val="restart"/>
          </w:tcPr>
          <w:p>
            <w:pPr>
              <w:pStyle w:val="0"/>
            </w:pPr>
            <w:r>
              <w:rPr>
                <w:sz w:val="20"/>
              </w:rPr>
            </w:r>
          </w:p>
        </w:tc>
        <w:tc>
          <w:tcPr>
            <w:vMerge w:val="continue"/>
          </w:tcPr>
          <w:p/>
        </w:tc>
        <w:tc>
          <w:tcPr>
            <w:tcW w:w="1046" w:type="dxa"/>
            <w:vAlign w:val="center"/>
          </w:tcPr>
          <w:p>
            <w:pPr>
              <w:pStyle w:val="0"/>
            </w:pPr>
            <w:r>
              <w:rPr>
                <w:sz w:val="20"/>
              </w:rPr>
            </w:r>
          </w:p>
        </w:tc>
        <w:tc>
          <w:tcPr>
            <w:tcW w:w="427" w:type="dxa"/>
            <w:vAlign w:val="center"/>
          </w:tcPr>
          <w:p>
            <w:pPr>
              <w:pStyle w:val="0"/>
            </w:pPr>
            <w:r>
              <w:rPr>
                <w:sz w:val="20"/>
              </w:rPr>
            </w:r>
          </w:p>
        </w:tc>
        <w:tc>
          <w:tcPr>
            <w:tcW w:w="590" w:type="dxa"/>
            <w:vAlign w:val="center"/>
          </w:tcPr>
          <w:p>
            <w:pPr>
              <w:pStyle w:val="0"/>
            </w:pPr>
            <w:r>
              <w:rPr>
                <w:sz w:val="20"/>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46" w:type="dxa"/>
            <w:vAlign w:val="center"/>
          </w:tcPr>
          <w:p>
            <w:pPr>
              <w:pStyle w:val="0"/>
            </w:pPr>
            <w:r>
              <w:rPr>
                <w:sz w:val="20"/>
              </w:rPr>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vMerge w:val="restart"/>
          </w:tcPr>
          <w:p>
            <w:pPr>
              <w:pStyle w:val="0"/>
            </w:pPr>
            <w:r>
              <w:rPr>
                <w:sz w:val="20"/>
              </w:rPr>
              <w:t xml:space="preserve">Тугоухость, заболевание ушей</w:t>
            </w:r>
          </w:p>
        </w:tc>
        <w:tc>
          <w:tcPr>
            <w:tcW w:w="432" w:type="dxa"/>
            <w:vAlign w:val="center"/>
            <w:vMerge w:val="restart"/>
          </w:tcPr>
          <w:p>
            <w:pPr>
              <w:pStyle w:val="0"/>
            </w:pPr>
            <w:r>
              <w:rPr>
                <w:sz w:val="20"/>
              </w:rPr>
            </w:r>
          </w:p>
        </w:tc>
        <w:tc>
          <w:tcPr>
            <w:tcW w:w="340" w:type="dxa"/>
            <w:vAlign w:val="center"/>
            <w:vMerge w:val="restart"/>
          </w:tcPr>
          <w:p>
            <w:pPr>
              <w:pStyle w:val="0"/>
            </w:pPr>
            <w:r>
              <w:rPr>
                <w:sz w:val="20"/>
              </w:rPr>
            </w:r>
          </w:p>
        </w:tc>
        <w:tc>
          <w:tcPr>
            <w:tcW w:w="1795" w:type="dxa"/>
            <w:vAlign w:val="center"/>
            <w:vMerge w:val="restart"/>
          </w:tcPr>
          <w:p>
            <w:pPr>
              <w:pStyle w:val="0"/>
            </w:pPr>
            <w:r>
              <w:rPr>
                <w:sz w:val="20"/>
              </w:rPr>
              <w:t xml:space="preserve">Попытки самоубийства</w:t>
            </w:r>
          </w:p>
        </w:tc>
        <w:tc>
          <w:tcPr>
            <w:tcW w:w="374" w:type="dxa"/>
            <w:vAlign w:val="center"/>
            <w:vMerge w:val="restart"/>
          </w:tcPr>
          <w:p>
            <w:pPr>
              <w:pStyle w:val="0"/>
            </w:pPr>
            <w:r>
              <w:rPr>
                <w:sz w:val="20"/>
              </w:rPr>
            </w:r>
          </w:p>
        </w:tc>
        <w:tc>
          <w:tcPr>
            <w:tcW w:w="340" w:type="dxa"/>
            <w:vAlign w:val="center"/>
            <w:vMerge w:val="restart"/>
          </w:tcPr>
          <w:p>
            <w:pPr>
              <w:pStyle w:val="0"/>
            </w:pPr>
            <w:r>
              <w:rPr>
                <w:sz w:val="20"/>
              </w:rPr>
            </w:r>
          </w:p>
        </w:tc>
        <w:tc>
          <w:tcPr>
            <w:tcW w:w="1848" w:type="dxa"/>
            <w:vAlign w:val="center"/>
            <w:vMerge w:val="restart"/>
          </w:tcPr>
          <w:p>
            <w:pPr>
              <w:pStyle w:val="0"/>
            </w:pPr>
            <w:r>
              <w:rPr>
                <w:sz w:val="20"/>
              </w:rPr>
              <w:t xml:space="preserve">Туберкулез</w:t>
            </w:r>
          </w:p>
        </w:tc>
        <w:tc>
          <w:tcPr>
            <w:tcW w:w="446" w:type="dxa"/>
            <w:vAlign w:val="center"/>
            <w:vMerge w:val="restart"/>
          </w:tcPr>
          <w:p>
            <w:pPr>
              <w:pStyle w:val="0"/>
            </w:pPr>
            <w:r>
              <w:rPr>
                <w:sz w:val="20"/>
              </w:rPr>
            </w:r>
          </w:p>
        </w:tc>
        <w:tc>
          <w:tcPr>
            <w:tcW w:w="398" w:type="dxa"/>
            <w:vAlign w:val="center"/>
            <w:vMerge w:val="restart"/>
          </w:tcPr>
          <w:p>
            <w:pPr>
              <w:pStyle w:val="0"/>
            </w:pPr>
            <w:r>
              <w:rPr>
                <w:sz w:val="20"/>
              </w:rPr>
            </w:r>
          </w:p>
        </w:tc>
        <w:tc>
          <w:tcPr>
            <w:vMerge w:val="continue"/>
          </w:tcPr>
          <w:p/>
        </w:tc>
        <w:tc>
          <w:tcPr>
            <w:tcW w:w="1046" w:type="dxa"/>
            <w:vAlign w:val="center"/>
          </w:tcPr>
          <w:p>
            <w:pPr>
              <w:pStyle w:val="0"/>
            </w:pPr>
            <w:r>
              <w:rPr>
                <w:sz w:val="20"/>
              </w:rPr>
            </w:r>
          </w:p>
        </w:tc>
        <w:tc>
          <w:tcPr>
            <w:tcW w:w="427" w:type="dxa"/>
            <w:vAlign w:val="center"/>
          </w:tcPr>
          <w:p>
            <w:pPr>
              <w:pStyle w:val="0"/>
            </w:pPr>
            <w:r>
              <w:rPr>
                <w:sz w:val="20"/>
              </w:rPr>
            </w:r>
          </w:p>
        </w:tc>
        <w:tc>
          <w:tcPr>
            <w:tcW w:w="590" w:type="dxa"/>
            <w:vAlign w:val="center"/>
          </w:tcPr>
          <w:p>
            <w:pPr>
              <w:pStyle w:val="0"/>
            </w:pPr>
            <w:r>
              <w:rPr>
                <w:sz w:val="20"/>
              </w:rPr>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1843" w:type="dxa"/>
            <w:vAlign w:val="center"/>
          </w:tcPr>
          <w:p>
            <w:pPr>
              <w:pStyle w:val="0"/>
            </w:pPr>
            <w:r>
              <w:rPr>
                <w:sz w:val="20"/>
              </w:rPr>
              <w:t xml:space="preserve">Для женщин:</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Анемия и другие заболевания крови</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Наследственные заболевания</w:t>
            </w:r>
          </w:p>
        </w:tc>
        <w:tc>
          <w:tcPr>
            <w:tcW w:w="374" w:type="dxa"/>
            <w:vAlign w:val="center"/>
          </w:tcPr>
          <w:p>
            <w:pPr>
              <w:pStyle w:val="0"/>
            </w:pPr>
            <w:r>
              <w:rPr>
                <w:sz w:val="20"/>
              </w:rPr>
            </w:r>
          </w:p>
        </w:tc>
        <w:tc>
          <w:tcPr>
            <w:tcW w:w="340" w:type="dxa"/>
            <w:vAlign w:val="center"/>
          </w:tcPr>
          <w:p>
            <w:pPr>
              <w:pStyle w:val="0"/>
            </w:pPr>
            <w:r>
              <w:rPr>
                <w:sz w:val="20"/>
              </w:rPr>
            </w:r>
          </w:p>
        </w:tc>
        <w:tc>
          <w:tcPr>
            <w:tcW w:w="1848" w:type="dxa"/>
            <w:vAlign w:val="center"/>
            <w:vMerge w:val="restart"/>
          </w:tcPr>
          <w:p>
            <w:pPr>
              <w:pStyle w:val="0"/>
            </w:pPr>
            <w:r>
              <w:rPr>
                <w:sz w:val="20"/>
              </w:rPr>
              <w:t xml:space="preserve">Назначение пенсии или компенсации в связи с телесными повреждениями или болезнью</w:t>
            </w:r>
          </w:p>
        </w:tc>
        <w:tc>
          <w:tcPr>
            <w:tcW w:w="446" w:type="dxa"/>
            <w:vAlign w:val="center"/>
            <w:vMerge w:val="restart"/>
          </w:tcPr>
          <w:p>
            <w:pPr>
              <w:pStyle w:val="0"/>
            </w:pPr>
            <w:r>
              <w:rPr>
                <w:sz w:val="20"/>
              </w:rPr>
            </w:r>
          </w:p>
        </w:tc>
        <w:tc>
          <w:tcPr>
            <w:tcW w:w="398" w:type="dxa"/>
            <w:vAlign w:val="center"/>
            <w:vMerge w:val="restart"/>
          </w:tcPr>
          <w:p>
            <w:pPr>
              <w:pStyle w:val="0"/>
            </w:pPr>
            <w:r>
              <w:rPr>
                <w:sz w:val="20"/>
              </w:rPr>
            </w:r>
          </w:p>
        </w:tc>
        <w:tc>
          <w:tcPr>
            <w:gridSpan w:val="2"/>
            <w:tcW w:w="1843" w:type="dxa"/>
            <w:vAlign w:val="center"/>
          </w:tcPr>
          <w:p>
            <w:pPr>
              <w:pStyle w:val="0"/>
            </w:pPr>
            <w:r>
              <w:rPr>
                <w:sz w:val="20"/>
              </w:rPr>
              <w:t xml:space="preserve">Вы беременны?</w:t>
            </w:r>
          </w:p>
        </w:tc>
        <w:tc>
          <w:tcPr>
            <w:tcW w:w="427" w:type="dxa"/>
            <w:vAlign w:val="center"/>
          </w:tcPr>
          <w:p>
            <w:pPr>
              <w:pStyle w:val="0"/>
            </w:pPr>
            <w:r>
              <w:rPr>
                <w:sz w:val="20"/>
              </w:rPr>
            </w:r>
          </w:p>
        </w:tc>
        <w:tc>
          <w:tcPr>
            <w:tcW w:w="590" w:type="dxa"/>
            <w:vAlign w:val="center"/>
          </w:tcPr>
          <w:p>
            <w:pPr>
              <w:pStyle w:val="0"/>
            </w:pPr>
            <w:r>
              <w:rPr>
                <w:sz w:val="20"/>
              </w:rPr>
            </w:r>
          </w:p>
        </w:tc>
      </w:tr>
      <w:tr>
        <w:tc>
          <w:tcPr>
            <w:tcW w:w="1560" w:type="dxa"/>
            <w:vAlign w:val="center"/>
          </w:tcPr>
          <w:p>
            <w:pPr>
              <w:pStyle w:val="0"/>
            </w:pPr>
            <w:r>
              <w:rPr>
                <w:sz w:val="20"/>
              </w:rPr>
              <w:t xml:space="preserve">Заболевание носа, горла, нарушения речи</w:t>
            </w:r>
          </w:p>
        </w:tc>
        <w:tc>
          <w:tcPr>
            <w:tcW w:w="432" w:type="dxa"/>
            <w:vAlign w:val="center"/>
          </w:tcPr>
          <w:p>
            <w:pPr>
              <w:pStyle w:val="0"/>
            </w:pPr>
            <w:r>
              <w:rPr>
                <w:sz w:val="20"/>
              </w:rPr>
            </w:r>
          </w:p>
        </w:tc>
        <w:tc>
          <w:tcPr>
            <w:tcW w:w="340" w:type="dxa"/>
            <w:vAlign w:val="center"/>
          </w:tcPr>
          <w:p>
            <w:pPr>
              <w:pStyle w:val="0"/>
            </w:pPr>
            <w:r>
              <w:rPr>
                <w:sz w:val="20"/>
              </w:rPr>
            </w:r>
          </w:p>
        </w:tc>
        <w:tc>
          <w:tcPr>
            <w:tcW w:w="1795" w:type="dxa"/>
            <w:vAlign w:val="center"/>
          </w:tcPr>
          <w:p>
            <w:pPr>
              <w:pStyle w:val="0"/>
            </w:pPr>
            <w:r>
              <w:rPr>
                <w:sz w:val="20"/>
              </w:rPr>
              <w:t xml:space="preserve">Признание негодным к военной службе</w:t>
            </w:r>
          </w:p>
        </w:tc>
        <w:tc>
          <w:tcPr>
            <w:tcW w:w="374" w:type="dxa"/>
            <w:vAlign w:val="center"/>
          </w:tcPr>
          <w:p>
            <w:pPr>
              <w:pStyle w:val="0"/>
            </w:pPr>
            <w:r>
              <w:rPr>
                <w:sz w:val="20"/>
              </w:rPr>
            </w:r>
          </w:p>
        </w:tc>
        <w:tc>
          <w:tcPr>
            <w:tcW w:w="340" w:type="dxa"/>
            <w:vAlign w:val="center"/>
          </w:tcPr>
          <w:p>
            <w:pPr>
              <w:pStyle w:val="0"/>
            </w:pPr>
            <w:r>
              <w:rPr>
                <w:sz w:val="20"/>
              </w:rPr>
            </w:r>
          </w:p>
        </w:tc>
        <w:tc>
          <w:tcPr>
            <w:vMerge w:val="continue"/>
          </w:tcPr>
          <w:p/>
        </w:tc>
        <w:tc>
          <w:tcPr>
            <w:vMerge w:val="continue"/>
          </w:tcPr>
          <w:p/>
        </w:tc>
        <w:tc>
          <w:tcPr>
            <w:vMerge w:val="continue"/>
          </w:tcPr>
          <w:p/>
        </w:tc>
        <w:tc>
          <w:tcPr>
            <w:gridSpan w:val="2"/>
            <w:tcW w:w="1843" w:type="dxa"/>
            <w:vAlign w:val="center"/>
          </w:tcPr>
          <w:p>
            <w:pPr>
              <w:pStyle w:val="0"/>
            </w:pPr>
            <w:r>
              <w:rPr>
                <w:sz w:val="20"/>
              </w:rPr>
              <w:t xml:space="preserve">Гинекологические заболевания</w:t>
            </w:r>
          </w:p>
        </w:tc>
        <w:tc>
          <w:tcPr>
            <w:tcW w:w="427" w:type="dxa"/>
            <w:vAlign w:val="center"/>
          </w:tcPr>
          <w:p>
            <w:pPr>
              <w:pStyle w:val="0"/>
            </w:pPr>
            <w:r>
              <w:rPr>
                <w:sz w:val="20"/>
              </w:rPr>
            </w:r>
          </w:p>
        </w:tc>
        <w:tc>
          <w:tcPr>
            <w:tcW w:w="590" w:type="dxa"/>
            <w:vAlign w:val="center"/>
          </w:tcPr>
          <w:p>
            <w:pPr>
              <w:pStyle w:val="0"/>
            </w:pPr>
            <w:r>
              <w:rPr>
                <w:sz w:val="20"/>
              </w:rPr>
            </w:r>
          </w:p>
        </w:tc>
      </w:tr>
      <w:tr>
        <w:tc>
          <w:tcPr>
            <w:gridSpan w:val="13"/>
            <w:tcW w:w="10393" w:type="dxa"/>
            <w:vAlign w:val="bottom"/>
          </w:tcPr>
          <w:p>
            <w:pPr>
              <w:pStyle w:val="0"/>
            </w:pPr>
            <w:r>
              <w:rPr>
                <w:sz w:val="20"/>
              </w:rPr>
              <w:t xml:space="preserve">Примечания:</w:t>
            </w:r>
          </w:p>
        </w:tc>
      </w:tr>
      <w:tr>
        <w:tblPrEx>
          <w:tblBorders>
            <w:insideH w:val="nil"/>
          </w:tblBorders>
        </w:tblPrEx>
        <w:tc>
          <w:tcPr>
            <w:gridSpan w:val="13"/>
            <w:tcW w:w="10393" w:type="dxa"/>
            <w:vAlign w:val="center"/>
            <w:tcBorders>
              <w:bottom w:val="nil"/>
            </w:tcBorders>
          </w:tcPr>
          <w:p>
            <w:pPr>
              <w:pStyle w:val="0"/>
              <w:jc w:val="both"/>
            </w:pPr>
            <w:r>
              <w:rPr>
                <w:sz w:val="20"/>
              </w:rPr>
              <w:t xml:space="preserve">Заявление: настоящим подтверждаю, что приведенные выше сведения достоверны и изложены в полном объеме.</w:t>
            </w:r>
          </w:p>
          <w:p>
            <w:pPr>
              <w:pStyle w:val="0"/>
              <w:jc w:val="both"/>
            </w:pPr>
            <w:r>
              <w:rPr>
                <w:sz w:val="20"/>
              </w:rPr>
              <w:t xml:space="preserve">Я предупрежден об отказе в выдаче мне медицинского заключения или отзыве любого выданного ранее мне медицинского заключения, а также применения иных действий в соответствии с законодательством Российской Федерации в случае предоставления ложной или вводящей в заблуждение информации, а также отказа от предоставления подтверждающей медицинской информации.</w:t>
            </w:r>
          </w:p>
          <w:p>
            <w:pPr>
              <w:pStyle w:val="0"/>
              <w:jc w:val="both"/>
            </w:pPr>
            <w:r>
              <w:rPr>
                <w:sz w:val="20"/>
              </w:rPr>
              <w:t xml:space="preserve">Согласие на передачу медицинской информации: настоящим я в соответствии со </w:t>
            </w:r>
            <w:hyperlink w:history="0" r:id="rId62" w:tooltip="Федеральный закон от 27.07.2006 N 152-ФЗ (ред. от 24.06.2025) &quot;О персональных данных&quot; {КонсультантПлюс}">
              <w:r>
                <w:rPr>
                  <w:sz w:val="20"/>
                  <w:color w:val="0000ff"/>
                </w:rPr>
                <w:t xml:space="preserve">статьей 9</w:t>
              </w:r>
            </w:hyperlink>
            <w:r>
              <w:rPr>
                <w:sz w:val="20"/>
              </w:rPr>
              <w:t xml:space="preserve"> Федерального закона от 27 июля 2006 г. N 152-ФЗ "О персональных данных" даю согласие на обработку персональных данных и передачу государственному полномочному органу по выдаче свидетельств медицинской информации, в том числе влияющей на безопасность полетов воздушных судов гражданской авиации.</w:t>
            </w:r>
          </w:p>
        </w:tc>
      </w:tr>
      <w:tr>
        <w:tblPrEx>
          <w:tblBorders>
            <w:insideV w:val="nil"/>
            <w:insideH w:val="nil"/>
          </w:tblBorders>
        </w:tblPrEx>
        <w:tc>
          <w:tcPr>
            <w:gridSpan w:val="6"/>
            <w:tcW w:w="4841" w:type="dxa"/>
            <w:tcBorders>
              <w:top w:val="nil"/>
              <w:left w:val="single" w:sz="4"/>
            </w:tcBorders>
            <w:vMerge w:val="restart"/>
          </w:tcPr>
          <w:p>
            <w:pPr>
              <w:pStyle w:val="0"/>
              <w:ind w:left="567"/>
              <w:jc w:val="both"/>
            </w:pPr>
            <w:r>
              <w:rPr>
                <w:sz w:val="20"/>
              </w:rPr>
              <w:t xml:space="preserve">Дата</w:t>
            </w:r>
          </w:p>
        </w:tc>
        <w:tc>
          <w:tcPr>
            <w:gridSpan w:val="7"/>
            <w:tcW w:w="5552" w:type="dxa"/>
            <w:tcBorders>
              <w:top w:val="nil"/>
              <w:bottom w:val="nil"/>
              <w:right w:val="single" w:sz="4"/>
            </w:tcBorders>
          </w:tcPr>
          <w:p>
            <w:pPr>
              <w:pStyle w:val="0"/>
              <w:jc w:val="both"/>
            </w:pPr>
            <w:r>
              <w:rPr>
                <w:sz w:val="20"/>
              </w:rPr>
              <w:t xml:space="preserve">Подпись заявителя _______________</w:t>
            </w:r>
          </w:p>
        </w:tc>
      </w:tr>
      <w:tr>
        <w:tblPrEx>
          <w:tblBorders>
            <w:insideV w:val="nil"/>
            <w:insideH w:val="nil"/>
          </w:tblBorders>
        </w:tblPrEx>
        <w:tc>
          <w:tcPr>
            <w:gridSpan w:val="6"/>
            <w:tcBorders>
              <w:top w:val="nil"/>
              <w:left w:val="single" w:sz="4"/>
            </w:tcBorders>
            <w:vMerge w:val="continue"/>
          </w:tcPr>
          <w:p/>
        </w:tc>
        <w:tc>
          <w:tcPr>
            <w:gridSpan w:val="7"/>
            <w:tcW w:w="5552" w:type="dxa"/>
            <w:tcBorders>
              <w:top w:val="nil"/>
              <w:bottom w:val="nil"/>
              <w:right w:val="single" w:sz="4"/>
            </w:tcBorders>
          </w:tcPr>
          <w:p>
            <w:pPr>
              <w:pStyle w:val="0"/>
              <w:jc w:val="both"/>
            </w:pPr>
            <w:r>
              <w:rPr>
                <w:sz w:val="20"/>
              </w:rPr>
              <w:t xml:space="preserve">Подпись медицинского эксперта _______/_________</w:t>
            </w:r>
          </w:p>
        </w:tc>
      </w:tr>
      <w:tr>
        <w:tblPrEx>
          <w:tblBorders>
            <w:insideV w:val="nil"/>
            <w:insideH w:val="nil"/>
          </w:tblBorders>
        </w:tblPrEx>
        <w:tc>
          <w:tcPr>
            <w:gridSpan w:val="6"/>
            <w:tcBorders>
              <w:top w:val="nil"/>
              <w:left w:val="single" w:sz="4"/>
            </w:tcBorders>
            <w:vMerge w:val="continue"/>
          </w:tcPr>
          <w:p/>
        </w:tc>
        <w:tc>
          <w:tcPr>
            <w:gridSpan w:val="7"/>
            <w:tcW w:w="5552" w:type="dxa"/>
            <w:tcBorders>
              <w:top w:val="nil"/>
              <w:right w:val="single" w:sz="4"/>
            </w:tcBorders>
          </w:tcPr>
          <w:p>
            <w:pPr>
              <w:pStyle w:val="0"/>
              <w:jc w:val="right"/>
            </w:pPr>
            <w:r>
              <w:rPr>
                <w:sz w:val="20"/>
              </w:rPr>
              <w:t xml:space="preserve">Ф.И.О.</w:t>
            </w:r>
          </w:p>
        </w:tc>
      </w:tr>
    </w:tbl>
    <w:p>
      <w:pPr>
        <w:sectPr>
          <w:headerReference w:type="default" r:id="rId60"/>
          <w:headerReference w:type="first" r:id="rId60"/>
          <w:footerReference w:type="default" r:id="rId61"/>
          <w:footerReference w:type="first" r:id="rId61"/>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w:t>
      </w:r>
    </w:p>
    <w:p>
      <w:pPr>
        <w:pStyle w:val="0"/>
        <w:jc w:val="both"/>
      </w:pPr>
      <w:r>
        <w:rPr>
          <w:sz w:val="20"/>
        </w:rPr>
      </w:r>
    </w:p>
    <w:bookmarkStart w:id="610" w:name="P610"/>
    <w:bookmarkEnd w:id="610"/>
    <w:p>
      <w:pPr>
        <w:pStyle w:val="2"/>
        <w:jc w:val="center"/>
      </w:pPr>
      <w:r>
        <w:rPr>
          <w:sz w:val="20"/>
        </w:rPr>
        <w:t xml:space="preserve">ПЕРЕЧЕНЬ МЕДИЦИНСКИХ ИССЛЕДОВАНИЙ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Терапевтическое обследование:</w:t>
      </w:r>
    </w:p>
    <w:p>
      <w:pPr>
        <w:pStyle w:val="0"/>
        <w:spacing w:before="200" w:line-rule="auto"/>
        <w:ind w:firstLine="540"/>
        <w:jc w:val="both"/>
      </w:pPr>
      <w:r>
        <w:rPr>
          <w:sz w:val="20"/>
        </w:rPr>
        <w:t xml:space="preserve">сбор анамнеза, наличие или отсутствие жалоб;</w:t>
      </w:r>
    </w:p>
    <w:p>
      <w:pPr>
        <w:pStyle w:val="0"/>
        <w:spacing w:before="200" w:line-rule="auto"/>
        <w:ind w:firstLine="540"/>
        <w:jc w:val="both"/>
      </w:pPr>
      <w:r>
        <w:rPr>
          <w:sz w:val="20"/>
        </w:rPr>
        <w:t xml:space="preserve">осмотр полости рта, зева, кожных покровов, видимых слизистых, пальпация лимфатических узлов и щитовидной железы, соответствие общего вида возрасту;</w:t>
      </w:r>
    </w:p>
    <w:p>
      <w:pPr>
        <w:pStyle w:val="0"/>
        <w:spacing w:before="200" w:line-rule="auto"/>
        <w:ind w:firstLine="540"/>
        <w:jc w:val="both"/>
      </w:pPr>
      <w:r>
        <w:rPr>
          <w:sz w:val="20"/>
        </w:rPr>
        <w:t xml:space="preserve">оценка органов дыхания, кровообращения (определение функциональной способности), пищеварения и мочевыделения.</w:t>
      </w:r>
    </w:p>
    <w:p>
      <w:pPr>
        <w:pStyle w:val="0"/>
        <w:spacing w:before="200" w:line-rule="auto"/>
        <w:ind w:firstLine="540"/>
        <w:jc w:val="both"/>
      </w:pPr>
      <w:r>
        <w:rPr>
          <w:sz w:val="20"/>
        </w:rPr>
        <w:t xml:space="preserve">2. Хирургическое обследование:</w:t>
      </w:r>
    </w:p>
    <w:p>
      <w:pPr>
        <w:pStyle w:val="0"/>
        <w:spacing w:before="200" w:line-rule="auto"/>
        <w:ind w:firstLine="540"/>
        <w:jc w:val="both"/>
      </w:pPr>
      <w:r>
        <w:rPr>
          <w:sz w:val="20"/>
        </w:rPr>
        <w:t xml:space="preserve">сбор анамнеза, наличие или отсутствие жалоб;</w:t>
      </w:r>
    </w:p>
    <w:p>
      <w:pPr>
        <w:pStyle w:val="0"/>
        <w:spacing w:before="200" w:line-rule="auto"/>
        <w:ind w:firstLine="540"/>
        <w:jc w:val="both"/>
      </w:pPr>
      <w:r>
        <w:rPr>
          <w:sz w:val="20"/>
        </w:rPr>
        <w:t xml:space="preserve">антропометрия (рост, масса тела, окружность талии, индекс массы тела, окружность грудной клетки, спирометрия, динамометрия кистей);</w:t>
      </w:r>
    </w:p>
    <w:p>
      <w:pPr>
        <w:pStyle w:val="0"/>
        <w:spacing w:before="200" w:line-rule="auto"/>
        <w:ind w:firstLine="540"/>
        <w:jc w:val="both"/>
      </w:pPr>
      <w:r>
        <w:rPr>
          <w:sz w:val="20"/>
        </w:rPr>
        <w:t xml:space="preserve">общий осмотр (телосложение, развитие мускулатуры и подкожно-жирового слоя, осанка, походка);</w:t>
      </w:r>
    </w:p>
    <w:p>
      <w:pPr>
        <w:pStyle w:val="0"/>
        <w:spacing w:before="200" w:line-rule="auto"/>
        <w:ind w:firstLine="540"/>
        <w:jc w:val="both"/>
      </w:pPr>
      <w:r>
        <w:rPr>
          <w:sz w:val="20"/>
        </w:rPr>
        <w:t xml:space="preserve">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пальцевое исследование прямой кишки и предстательной железы - для кандидатов на получение медицинского заключения с 40 лет.</w:t>
      </w:r>
    </w:p>
    <w:p>
      <w:pPr>
        <w:pStyle w:val="0"/>
        <w:spacing w:before="200" w:line-rule="auto"/>
        <w:ind w:firstLine="540"/>
        <w:jc w:val="both"/>
      </w:pPr>
      <w:r>
        <w:rPr>
          <w:sz w:val="20"/>
        </w:rPr>
        <w:t xml:space="preserve">3. Неврологическое обследование:</w:t>
      </w:r>
    </w:p>
    <w:p>
      <w:pPr>
        <w:pStyle w:val="0"/>
        <w:spacing w:before="200" w:line-rule="auto"/>
        <w:ind w:firstLine="540"/>
        <w:jc w:val="both"/>
      </w:pPr>
      <w:r>
        <w:rPr>
          <w:sz w:val="20"/>
        </w:rPr>
        <w:t xml:space="preserve">сбор анамнеза, наличие или отсутствие жалоб;</w:t>
      </w:r>
    </w:p>
    <w:p>
      <w:pPr>
        <w:pStyle w:val="0"/>
        <w:spacing w:before="200" w:line-rule="auto"/>
        <w:ind w:firstLine="540"/>
        <w:jc w:val="both"/>
      </w:pPr>
      <w:r>
        <w:rPr>
          <w:sz w:val="20"/>
        </w:rPr>
        <w:t xml:space="preserve">внешний осмотр (кожные рубцы, татуировки, атрофия, фибриллярные и фасцикулярные подергивания, следы от инъекций, особенности анатомического строения);</w:t>
      </w:r>
    </w:p>
    <w:p>
      <w:pPr>
        <w:pStyle w:val="0"/>
        <w:spacing w:before="200" w:line-rule="auto"/>
        <w:ind w:firstLine="540"/>
        <w:jc w:val="both"/>
      </w:pPr>
      <w:r>
        <w:rPr>
          <w:sz w:val="20"/>
        </w:rPr>
        <w:t xml:space="preserve">черепно-мозговые нервы;</w:t>
      </w:r>
    </w:p>
    <w:p>
      <w:pPr>
        <w:pStyle w:val="0"/>
        <w:spacing w:before="200" w:line-rule="auto"/>
        <w:ind w:firstLine="540"/>
        <w:jc w:val="both"/>
      </w:pPr>
      <w:r>
        <w:rPr>
          <w:sz w:val="20"/>
        </w:rPr>
        <w:t xml:space="preserve">двигательная, рефлекторная, чувствительная сферы, статика и координация;</w:t>
      </w:r>
    </w:p>
    <w:p>
      <w:pPr>
        <w:pStyle w:val="0"/>
        <w:spacing w:before="200" w:line-rule="auto"/>
        <w:ind w:firstLine="540"/>
        <w:jc w:val="both"/>
      </w:pPr>
      <w:r>
        <w:rPr>
          <w:sz w:val="20"/>
        </w:rPr>
        <w:t xml:space="preserve">вегетативно-нервная система (дермографизм, акроцианоз, гипергидроз, тремор, ортоклиностатическая проба);</w:t>
      </w:r>
    </w:p>
    <w:p>
      <w:pPr>
        <w:pStyle w:val="0"/>
        <w:spacing w:before="200" w:line-rule="auto"/>
        <w:ind w:firstLine="540"/>
        <w:jc w:val="both"/>
      </w:pPr>
      <w:r>
        <w:rPr>
          <w:sz w:val="20"/>
        </w:rPr>
        <w:t xml:space="preserve">эмоционально-психическая сфера.</w:t>
      </w:r>
    </w:p>
    <w:p>
      <w:pPr>
        <w:pStyle w:val="0"/>
        <w:spacing w:before="200" w:line-rule="auto"/>
        <w:ind w:firstLine="540"/>
        <w:jc w:val="both"/>
      </w:pPr>
      <w:r>
        <w:rPr>
          <w:sz w:val="20"/>
        </w:rPr>
        <w:t xml:space="preserve">4. Обследование ЛОР-органов:</w:t>
      </w:r>
    </w:p>
    <w:p>
      <w:pPr>
        <w:pStyle w:val="0"/>
        <w:spacing w:before="200" w:line-rule="auto"/>
        <w:ind w:firstLine="540"/>
        <w:jc w:val="both"/>
      </w:pPr>
      <w:r>
        <w:rPr>
          <w:sz w:val="20"/>
        </w:rPr>
        <w:t xml:space="preserve">сбор анамнеза, наличие или отсутствие жалоб;</w:t>
      </w:r>
    </w:p>
    <w:p>
      <w:pPr>
        <w:pStyle w:val="0"/>
        <w:spacing w:before="200" w:line-rule="auto"/>
        <w:ind w:firstLine="540"/>
        <w:jc w:val="both"/>
      </w:pPr>
      <w:r>
        <w:rPr>
          <w:sz w:val="20"/>
        </w:rPr>
        <w:t xml:space="preserve">внешний осмотр;</w:t>
      </w:r>
    </w:p>
    <w:p>
      <w:pPr>
        <w:pStyle w:val="0"/>
        <w:spacing w:before="200" w:line-rule="auto"/>
        <w:ind w:firstLine="540"/>
        <w:jc w:val="both"/>
      </w:pPr>
      <w:r>
        <w:rPr>
          <w:sz w:val="20"/>
        </w:rPr>
        <w:t xml:space="preserve">внутренний осмотр (эндоскопия), передняя и задняя риноскопия, отоскопия, фарингоскопия, ларингоскопия, определение носового дыхания и обоняния;</w:t>
      </w:r>
    </w:p>
    <w:p>
      <w:pPr>
        <w:pStyle w:val="0"/>
        <w:spacing w:before="200" w:line-rule="auto"/>
        <w:ind w:firstLine="540"/>
        <w:jc w:val="both"/>
      </w:pPr>
      <w:r>
        <w:rPr>
          <w:sz w:val="20"/>
        </w:rPr>
        <w:t xml:space="preserve">акуметрия (шепотной, разговорной речью);</w:t>
      </w:r>
    </w:p>
    <w:p>
      <w:pPr>
        <w:pStyle w:val="0"/>
        <w:spacing w:before="200" w:line-rule="auto"/>
        <w:ind w:firstLine="540"/>
        <w:jc w:val="both"/>
      </w:pPr>
      <w:r>
        <w:rPr>
          <w:sz w:val="20"/>
        </w:rPr>
        <w:t xml:space="preserve">барофункция уха;</w:t>
      </w:r>
    </w:p>
    <w:p>
      <w:pPr>
        <w:pStyle w:val="0"/>
        <w:spacing w:before="200" w:line-rule="auto"/>
        <w:ind w:firstLine="540"/>
        <w:jc w:val="both"/>
      </w:pPr>
      <w:r>
        <w:rPr>
          <w:sz w:val="20"/>
        </w:rPr>
        <w:t xml:space="preserve">исследование статокинетической устойчивости (вестибулометрия) проводится методом непрерывной кумуляции ускорений Кориолиса (НКУК) в течение 3 мин. или методом прерывистой кумуляции ускорений Кориолиса (ПКУК) в течение 2 мин. - кандидатам, поступающим на обучение в учебные заведения гражданской авиации по подготовке пилотов, штурманов, бортинженеров, диспетчеров УВД, членам летного экипажа;</w:t>
      </w:r>
    </w:p>
    <w:p>
      <w:pPr>
        <w:pStyle w:val="0"/>
        <w:jc w:val="both"/>
      </w:pPr>
      <w:r>
        <w:rPr>
          <w:sz w:val="20"/>
        </w:rPr>
        <w:t xml:space="preserve">(в ред. </w:t>
      </w:r>
      <w:hyperlink w:history="0" r:id="rId6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Состояние слуха оценивается с использованием тональной пороговой аудиометрии (ТПА) с определением порога слышимости по воздушной и костной проводимости на каждое ухо отдельно на частотах 0,25, 0,5, 1, 2, 3, 4, 6 и 8 кГц.</w:t>
      </w:r>
    </w:p>
    <w:p>
      <w:pPr>
        <w:pStyle w:val="0"/>
        <w:spacing w:before="200" w:line-rule="auto"/>
        <w:ind w:firstLine="540"/>
        <w:jc w:val="both"/>
      </w:pPr>
      <w:r>
        <w:rPr>
          <w:sz w:val="20"/>
        </w:rPr>
        <w:t xml:space="preserve">Степень выраженности нарушения слуха оценивается с учетом результатов ТПА по международной классификации тугоухости, основанной на среднем значении порогов слышимости на частотах 0,5, 1, 2 и 4 кГц: от 0 до 25 дБ - нормальный слух; 26 - 40 дБ - первая степень тугоухости; 41 - 55 дБ - вторая степень; 56 - 70 дБ - третья степень; 71 - 90 дБ - четвертая степень.</w:t>
      </w:r>
    </w:p>
    <w:p>
      <w:pPr>
        <w:pStyle w:val="0"/>
        <w:spacing w:before="200" w:line-rule="auto"/>
        <w:ind w:firstLine="540"/>
        <w:jc w:val="both"/>
      </w:pPr>
      <w:r>
        <w:rPr>
          <w:sz w:val="20"/>
        </w:rPr>
        <w:t xml:space="preserve">ТПА проводится при первичном освидетельствовании, курсантам перед выпуском, далее один раз в 4 года до возраста 40 лет, а с 40 лет - 1 раз в 2 года. В случае наличия клинической формы тугоухости либо изолированных повышений порогов слышимости на одной или нескольких частотах свыше возрастной нормы исследование проводится ежегодно.</w:t>
      </w:r>
    </w:p>
    <w:p>
      <w:pPr>
        <w:pStyle w:val="0"/>
        <w:spacing w:before="200" w:line-rule="auto"/>
        <w:ind w:firstLine="540"/>
        <w:jc w:val="both"/>
      </w:pPr>
      <w:r>
        <w:rPr>
          <w:sz w:val="20"/>
        </w:rPr>
        <w:t xml:space="preserve">При наличии установленного клинического диагноза с признаками нарушения слуха (тугоухость одно- или двусторонняя) проводится дополнительное исследование с использованием дополнительных субъективных (надпороговые тесты, речевая аудиометрия и др.) и объективных методов исследования слуха (акустическая импедансометрия, регистрация отоакустической эмиссии, коротколатентных слуховых вызванных потенциалов мозга (КСВП), стационарных слуховых потенциалов (ASSR-тест). Объем аудиологического исследования определяется в зависимости от клинической и функциональной необходимости для решения вопроса о возможности безопасного выполнения профессиональных обязанностей.</w:t>
      </w:r>
    </w:p>
    <w:p>
      <w:pPr>
        <w:pStyle w:val="0"/>
        <w:spacing w:before="200" w:line-rule="auto"/>
        <w:ind w:firstLine="540"/>
        <w:jc w:val="both"/>
      </w:pPr>
      <w:r>
        <w:rPr>
          <w:sz w:val="20"/>
        </w:rPr>
        <w:t xml:space="preserve">Для проведения оценки годности с вынесением официального медицинского заключения ЦВЛЭК ГА для кандидатов на получение медицинского заключения, не соответствующих требованиям по слуху, проводится исследование функционального состояния слуха на восприятие речи (речевая аудиометрия) с конкурирующим ипсилатеральным звуком либо в свободном звуковом поле, где в речевом материале для тестирования используются как авиационные фразы, так и фонетически сбалансированные слова (тестовые элементы), а частотный состав фонового шума содержит диапазон частот речи (от 0,5 до 4 кГц). В спорных ситуациях в качестве альтернативы исследование можно проводить при шумовом фоне, воспроизводящем или имитирующем обычный шум в кабине воздушного судна того типа, для которого действителен сертификат кандидата на получение медицинского заключения, а также при тренировке на тренажере соответствующего типа воздушного судна.</w:t>
      </w:r>
    </w:p>
    <w:p>
      <w:pPr>
        <w:pStyle w:val="0"/>
        <w:spacing w:before="200" w:line-rule="auto"/>
        <w:ind w:firstLine="540"/>
        <w:jc w:val="both"/>
      </w:pPr>
      <w:r>
        <w:rPr>
          <w:sz w:val="20"/>
        </w:rPr>
        <w:t xml:space="preserve">Для оценки состояния среднего уха и сохранности функции слуховой трубы по медицинским показаниям проводится акустическая тимпанометрия.</w:t>
      </w:r>
    </w:p>
    <w:p>
      <w:pPr>
        <w:pStyle w:val="0"/>
        <w:jc w:val="both"/>
      </w:pPr>
      <w:r>
        <w:rPr>
          <w:sz w:val="20"/>
        </w:rPr>
        <w:t xml:space="preserve">(в ред. </w:t>
      </w:r>
      <w:hyperlink w:history="0" r:id="rId6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Для объективной оценки функции носового дыхания, степени выраженности его нарушения проводится риноманометрия по медицинским показаниям.</w:t>
      </w:r>
    </w:p>
    <w:p>
      <w:pPr>
        <w:pStyle w:val="0"/>
        <w:jc w:val="both"/>
      </w:pPr>
      <w:r>
        <w:rPr>
          <w:sz w:val="20"/>
        </w:rPr>
        <w:t xml:space="preserve">(в ред. </w:t>
      </w:r>
      <w:hyperlink w:history="0" r:id="rId6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5. Стоматологическое обследование:</w:t>
      </w:r>
    </w:p>
    <w:p>
      <w:pPr>
        <w:pStyle w:val="0"/>
        <w:spacing w:before="200" w:line-rule="auto"/>
        <w:ind w:firstLine="540"/>
        <w:jc w:val="both"/>
      </w:pPr>
      <w:r>
        <w:rPr>
          <w:sz w:val="20"/>
        </w:rPr>
        <w:t xml:space="preserve">состояние зубов, слизистой оболочки полости рта, десен;</w:t>
      </w:r>
    </w:p>
    <w:p>
      <w:pPr>
        <w:pStyle w:val="0"/>
        <w:spacing w:before="200" w:line-rule="auto"/>
        <w:ind w:firstLine="540"/>
        <w:jc w:val="both"/>
      </w:pPr>
      <w:r>
        <w:rPr>
          <w:sz w:val="20"/>
        </w:rPr>
        <w:t xml:space="preserve">прикус, зубная формула, наличие коронок, мостов и протезов.</w:t>
      </w:r>
    </w:p>
    <w:p>
      <w:pPr>
        <w:pStyle w:val="0"/>
        <w:spacing w:before="200" w:line-rule="auto"/>
        <w:ind w:firstLine="540"/>
        <w:jc w:val="both"/>
      </w:pPr>
      <w:r>
        <w:rPr>
          <w:sz w:val="20"/>
        </w:rPr>
        <w:t xml:space="preserve">6. Исследование органа зрения:</w:t>
      </w:r>
    </w:p>
    <w:p>
      <w:pPr>
        <w:pStyle w:val="0"/>
        <w:spacing w:before="200" w:line-rule="auto"/>
        <w:ind w:firstLine="540"/>
        <w:jc w:val="both"/>
      </w:pPr>
      <w:r>
        <w:rPr>
          <w:sz w:val="20"/>
        </w:rPr>
        <w:t xml:space="preserve">1) первичный осмотр предусматривает сбор анамнеза, наличие или отсутствие жалоб.</w:t>
      </w:r>
    </w:p>
    <w:p>
      <w:pPr>
        <w:pStyle w:val="0"/>
        <w:spacing w:before="200" w:line-rule="auto"/>
        <w:ind w:firstLine="540"/>
        <w:jc w:val="both"/>
      </w:pPr>
      <w:r>
        <w:rPr>
          <w:sz w:val="20"/>
        </w:rPr>
        <w:t xml:space="preserve">Исследование остроты зрения вдаль, вблизи - определение ближайшей точки ясного зрения и на среднюю дистанцию: без коррекции, с коррекцией, исследование бинокулярной остроты зрения, определение наилучшей коррекции (если это необходимо).</w:t>
      </w:r>
    </w:p>
    <w:p>
      <w:pPr>
        <w:pStyle w:val="0"/>
        <w:spacing w:before="200" w:line-rule="auto"/>
        <w:ind w:firstLine="540"/>
        <w:jc w:val="both"/>
      </w:pPr>
      <w:r>
        <w:rPr>
          <w:sz w:val="20"/>
        </w:rPr>
        <w:t xml:space="preserve">Рефрактометрия.</w:t>
      </w:r>
    </w:p>
    <w:p>
      <w:pPr>
        <w:pStyle w:val="0"/>
        <w:spacing w:before="200" w:line-rule="auto"/>
        <w:ind w:firstLine="540"/>
        <w:jc w:val="both"/>
      </w:pPr>
      <w:r>
        <w:rPr>
          <w:sz w:val="20"/>
        </w:rPr>
        <w:t xml:space="preserve">Исследование сохранности бинокулярного зрения (аппаратные методы).</w:t>
      </w:r>
    </w:p>
    <w:p>
      <w:pPr>
        <w:pStyle w:val="0"/>
        <w:spacing w:before="200" w:line-rule="auto"/>
        <w:ind w:firstLine="540"/>
        <w:jc w:val="both"/>
      </w:pPr>
      <w:r>
        <w:rPr>
          <w:sz w:val="20"/>
        </w:rPr>
        <w:t xml:space="preserve">Определение цветовосприятия (полихроматические таблицы).</w:t>
      </w:r>
    </w:p>
    <w:p>
      <w:pPr>
        <w:pStyle w:val="0"/>
        <w:spacing w:before="200" w:line-rule="auto"/>
        <w:ind w:firstLine="540"/>
        <w:jc w:val="both"/>
      </w:pPr>
      <w:r>
        <w:rPr>
          <w:sz w:val="20"/>
        </w:rPr>
        <w:t xml:space="preserve">Исследование темновой адаптации и чувствительности к ослеплению.</w:t>
      </w:r>
    </w:p>
    <w:p>
      <w:pPr>
        <w:pStyle w:val="0"/>
        <w:spacing w:before="200" w:line-rule="auto"/>
        <w:ind w:firstLine="540"/>
        <w:jc w:val="both"/>
      </w:pPr>
      <w:r>
        <w:rPr>
          <w:sz w:val="20"/>
        </w:rPr>
        <w:t xml:space="preserve">Определение ближайшей точки конвергенции, исследование подвижности глазных яблок.</w:t>
      </w:r>
    </w:p>
    <w:p>
      <w:pPr>
        <w:pStyle w:val="0"/>
        <w:spacing w:before="200" w:line-rule="auto"/>
        <w:ind w:firstLine="540"/>
        <w:jc w:val="both"/>
      </w:pPr>
      <w:r>
        <w:rPr>
          <w:sz w:val="20"/>
        </w:rPr>
        <w:t xml:space="preserve">Проведение периметрии (по показаниям).</w:t>
      </w:r>
    </w:p>
    <w:p>
      <w:pPr>
        <w:pStyle w:val="0"/>
        <w:spacing w:before="200" w:line-rule="auto"/>
        <w:ind w:firstLine="540"/>
        <w:jc w:val="both"/>
      </w:pPr>
      <w:r>
        <w:rPr>
          <w:sz w:val="20"/>
        </w:rPr>
        <w:t xml:space="preserve">Обследование анатомического состояния органа зрения (осмотр переднего отрезка глаза, осмотр глазного дна, включая дальнюю периферию сетчатки).</w:t>
      </w:r>
    </w:p>
    <w:p>
      <w:pPr>
        <w:pStyle w:val="0"/>
        <w:spacing w:before="200" w:line-rule="auto"/>
        <w:ind w:firstLine="540"/>
        <w:jc w:val="both"/>
      </w:pPr>
      <w:r>
        <w:rPr>
          <w:sz w:val="20"/>
        </w:rPr>
        <w:t xml:space="preserve">Измерение внутриглазного давления.</w:t>
      </w:r>
    </w:p>
    <w:p>
      <w:pPr>
        <w:pStyle w:val="0"/>
        <w:spacing w:before="200" w:line-rule="auto"/>
        <w:ind w:firstLine="540"/>
        <w:jc w:val="both"/>
      </w:pPr>
      <w:r>
        <w:rPr>
          <w:sz w:val="20"/>
        </w:rPr>
        <w:t xml:space="preserve">У кандидатов на получение свидетельства проводится объективное исследование рефракции в условиях циклоплегии;</w:t>
      </w:r>
    </w:p>
    <w:p>
      <w:pPr>
        <w:pStyle w:val="0"/>
        <w:spacing w:before="200" w:line-rule="auto"/>
        <w:ind w:firstLine="540"/>
        <w:jc w:val="both"/>
      </w:pPr>
      <w:r>
        <w:rPr>
          <w:sz w:val="20"/>
        </w:rPr>
        <w:t xml:space="preserve">2) регулярный осмотр предусматривает сбор анамнеза, наличие или отсутствие жалоб.</w:t>
      </w:r>
    </w:p>
    <w:p>
      <w:pPr>
        <w:pStyle w:val="0"/>
        <w:spacing w:before="200" w:line-rule="auto"/>
        <w:ind w:firstLine="540"/>
        <w:jc w:val="both"/>
      </w:pPr>
      <w:r>
        <w:rPr>
          <w:sz w:val="20"/>
        </w:rPr>
        <w:t xml:space="preserve">Исследование остроты зрения вдаль, вблизи - определение ближайшей точки ясного зрения и на среднюю дистанцию: без коррекции, с коррекцией, исследование бинокулярной остроты зрения, определение наилучшей коррекции (если это необходимо).</w:t>
      </w:r>
    </w:p>
    <w:p>
      <w:pPr>
        <w:pStyle w:val="0"/>
        <w:spacing w:before="200" w:line-rule="auto"/>
        <w:ind w:firstLine="540"/>
        <w:jc w:val="both"/>
      </w:pPr>
      <w:r>
        <w:rPr>
          <w:sz w:val="20"/>
        </w:rPr>
        <w:t xml:space="preserve">Рефрактометрия.</w:t>
      </w:r>
    </w:p>
    <w:p>
      <w:pPr>
        <w:pStyle w:val="0"/>
        <w:spacing w:before="200" w:line-rule="auto"/>
        <w:ind w:firstLine="540"/>
        <w:jc w:val="both"/>
      </w:pPr>
      <w:r>
        <w:rPr>
          <w:sz w:val="20"/>
        </w:rPr>
        <w:t xml:space="preserve">Исследование темновой адаптации и чувствительности к ослеплению.</w:t>
      </w:r>
    </w:p>
    <w:p>
      <w:pPr>
        <w:pStyle w:val="0"/>
        <w:spacing w:before="200" w:line-rule="auto"/>
        <w:ind w:firstLine="540"/>
        <w:jc w:val="both"/>
      </w:pPr>
      <w:r>
        <w:rPr>
          <w:sz w:val="20"/>
        </w:rPr>
        <w:t xml:space="preserve">Определение ближайшей точки конвергенции, исследование подвижности глазных яблок.</w:t>
      </w:r>
    </w:p>
    <w:p>
      <w:pPr>
        <w:pStyle w:val="0"/>
        <w:spacing w:before="200" w:line-rule="auto"/>
        <w:ind w:firstLine="540"/>
        <w:jc w:val="both"/>
      </w:pPr>
      <w:r>
        <w:rPr>
          <w:sz w:val="20"/>
        </w:rPr>
        <w:t xml:space="preserve">Обследование анатомического состояния органа зрения (осмотр переднего отрезка глаза, осмотр глазного дна: оценка состояния диска зрительного нерва, сосудистых аркад и состояние макулярной зоны).</w:t>
      </w:r>
    </w:p>
    <w:p>
      <w:pPr>
        <w:pStyle w:val="0"/>
        <w:spacing w:before="200" w:line-rule="auto"/>
        <w:ind w:firstLine="540"/>
        <w:jc w:val="both"/>
      </w:pPr>
      <w:r>
        <w:rPr>
          <w:sz w:val="20"/>
        </w:rPr>
        <w:t xml:space="preserve">Измерение внутриглазного давления: для кандидатов на получение медицинского заключения и обладателей медицинского заключения 1 класса - в 35, 40 лет и далее ежегодно; для кандидатов на получение медицинского заключения и обладателей медицинских заключений 2 и 3 классов - в 40 лет и далее при очередном освидетельствовании ВЛЭК ГА.</w:t>
      </w:r>
    </w:p>
    <w:p>
      <w:pPr>
        <w:pStyle w:val="0"/>
        <w:spacing w:before="200" w:line-rule="auto"/>
        <w:ind w:firstLine="540"/>
        <w:jc w:val="both"/>
      </w:pPr>
      <w:r>
        <w:rPr>
          <w:sz w:val="20"/>
        </w:rPr>
        <w:t xml:space="preserve">Дальнейшее обследование проводится по наличию показаний (осмотр глазного дна под мидриазом, дополнительные аппаратные исследования).</w:t>
      </w:r>
    </w:p>
    <w:p>
      <w:pPr>
        <w:pStyle w:val="0"/>
        <w:spacing w:before="200" w:line-rule="auto"/>
        <w:ind w:firstLine="540"/>
        <w:jc w:val="both"/>
      </w:pPr>
      <w:r>
        <w:rPr>
          <w:sz w:val="20"/>
        </w:rPr>
        <w:t xml:space="preserve">7. Осмотр гинекологом.</w:t>
      </w:r>
    </w:p>
    <w:p>
      <w:pPr>
        <w:pStyle w:val="0"/>
        <w:spacing w:before="200" w:line-rule="auto"/>
        <w:ind w:firstLine="540"/>
        <w:jc w:val="both"/>
      </w:pPr>
      <w:r>
        <w:rPr>
          <w:sz w:val="20"/>
        </w:rPr>
        <w:t xml:space="preserve">8. Осмотр врача-психиатра при каждом медицинском освидетельствовании.</w:t>
      </w:r>
    </w:p>
    <w:p>
      <w:pPr>
        <w:pStyle w:val="0"/>
        <w:spacing w:before="200" w:line-rule="auto"/>
        <w:ind w:firstLine="540"/>
        <w:jc w:val="both"/>
      </w:pPr>
      <w:r>
        <w:rPr>
          <w:sz w:val="20"/>
        </w:rPr>
        <w:t xml:space="preserve">9. Осмотр врачом-психиатром-наркологом при каждом медицинском освидетельствовании с использованием наборов реагентов (экспресс-тестов) для предварительных химико-токсикологических исследований (ХТИ), позволяющих выявлять в моче 10 групп психоактивных веществ и их метаболитов: опиаты, каннабиноиды, фенилалкиламины (амфетамин, метамфетамин), синтетические катиноны, кокаин, метадон, бензодиазепины, барбитураты, фенциклидин. Предварительные ХТИ проводятся иммунохимическими методами, исключающими визуальную оценку результатов предварительных ХТИ, одновременно на все вещества и не позднее 2 часов с момента отбора пробы биологического объекта с применением анализаторов, обеспечивающих регистрацию и количественную оценку результатов предварительных ХТИ путем сравнения полученного результата с калибровочной кривой. В случае выявления при проведении предварительных ХТИ в образце биологического объекта (моче) психоактивных веществ и их метаболитов и вне зависимости от их концентрации проводится подтверждающее ХТИ методом газовой и (или) жидкостной хроматомасс-спектрометрии в химико-токсикологической лаборатории.</w:t>
      </w:r>
    </w:p>
    <w:p>
      <w:pPr>
        <w:pStyle w:val="0"/>
        <w:spacing w:before="200" w:line-rule="auto"/>
        <w:ind w:firstLine="540"/>
        <w:jc w:val="both"/>
      </w:pPr>
      <w:r>
        <w:rPr>
          <w:sz w:val="20"/>
        </w:rPr>
        <w:t xml:space="preserve">При положительном результате предварительных ХТИ, а также при выявлении у освидетельствуемого в ходе осмотра врачом-психиатром-наркологом симптомов и синдромов заболеваний (состояний), связанных с употреблением (злоупотреблением) алкоголя, психоактивных веществ и/или лекарственных препаратов, в том числе при отрицательных результатах предварительных ХТИ, проводятся дополнительные исследования - подтверждающие ХТИ мочи или крови методом газовой и (или) жидкостной хроматомасс-спектрометрии в целях диагностики потребления иных ПАВ (в том числе лекарственных препаратов), а также применяются лабораторные методы диагностики маркеров злоупотребления алкоголем, включая количественное определение в образце крови карбогидрат-дефицитного трансферрина (CDT).</w:t>
      </w:r>
    </w:p>
    <w:p>
      <w:pPr>
        <w:pStyle w:val="0"/>
        <w:spacing w:before="200" w:line-rule="auto"/>
        <w:ind w:firstLine="540"/>
        <w:jc w:val="both"/>
      </w:pPr>
      <w:r>
        <w:rPr>
          <w:sz w:val="20"/>
        </w:rPr>
        <w:t xml:space="preserve">10. Психологическое обследование проводится:</w:t>
      </w:r>
    </w:p>
    <w:p>
      <w:pPr>
        <w:pStyle w:val="0"/>
        <w:spacing w:before="200" w:line-rule="auto"/>
        <w:ind w:firstLine="540"/>
        <w:jc w:val="both"/>
      </w:pPr>
      <w:r>
        <w:rPr>
          <w:sz w:val="20"/>
        </w:rPr>
        <w:t xml:space="preserve">а) при первичном освидетельствовании;</w:t>
      </w:r>
    </w:p>
    <w:p>
      <w:pPr>
        <w:pStyle w:val="0"/>
        <w:spacing w:before="200" w:line-rule="auto"/>
        <w:ind w:firstLine="540"/>
        <w:jc w:val="both"/>
      </w:pPr>
      <w:r>
        <w:rPr>
          <w:sz w:val="20"/>
        </w:rPr>
        <w:t xml:space="preserve">б) при первичном наделении члена летного экипажа правом выполнения функций командира воздушного судна, пилота при получении квалификационной отметки "инструктор", диспетчера УВД при получении квалификационной отметки "инструктор", при выдвижении на должность старшего диспетчера УВД, руководителя полетов;</w:t>
      </w:r>
    </w:p>
    <w:p>
      <w:pPr>
        <w:pStyle w:val="0"/>
        <w:spacing w:before="200" w:line-rule="auto"/>
        <w:ind w:firstLine="540"/>
        <w:jc w:val="both"/>
      </w:pPr>
      <w:r>
        <w:rPr>
          <w:sz w:val="20"/>
        </w:rPr>
        <w:t xml:space="preserve">в) кандидатам на получение медицинского заключения 1 класса по достижении 45 лет, 50 лет, далее каждые 2 года, 60 лет и далее ежегодно, кандидатам на получение медицинского заключения 3 класса - в возрасте 50 лет, 55 лет, далее каждые 2 года;</w:t>
      </w:r>
    </w:p>
    <w:p>
      <w:pPr>
        <w:pStyle w:val="0"/>
        <w:spacing w:before="200" w:line-rule="auto"/>
        <w:ind w:firstLine="540"/>
        <w:jc w:val="both"/>
      </w:pPr>
      <w:r>
        <w:rPr>
          <w:sz w:val="20"/>
        </w:rPr>
        <w:t xml:space="preserve">г) при перерыве в работе более 4 месяцев кандидатам на получение медицинских заключений 1 класса и 3 класса;</w:t>
      </w:r>
    </w:p>
    <w:p>
      <w:pPr>
        <w:pStyle w:val="0"/>
        <w:spacing w:before="200" w:line-rule="auto"/>
        <w:ind w:firstLine="540"/>
        <w:jc w:val="both"/>
      </w:pPr>
      <w:r>
        <w:rPr>
          <w:sz w:val="20"/>
        </w:rPr>
        <w:t xml:space="preserve">д) при обосновании назначения врачом-специалистом ВЛЭК ГА (ЦВЛЭК ГА).</w:t>
      </w:r>
    </w:p>
    <w:p>
      <w:pPr>
        <w:pStyle w:val="0"/>
        <w:spacing w:before="200" w:line-rule="auto"/>
        <w:ind w:firstLine="540"/>
        <w:jc w:val="both"/>
      </w:pPr>
      <w:r>
        <w:rPr>
          <w:sz w:val="20"/>
        </w:rPr>
        <w:t xml:space="preserve">е) после авиационных происшествий и серьезных авиационных инцидентов.</w:t>
      </w:r>
    </w:p>
    <w:p>
      <w:pPr>
        <w:pStyle w:val="0"/>
        <w:jc w:val="both"/>
      </w:pPr>
      <w:r>
        <w:rPr>
          <w:sz w:val="20"/>
        </w:rPr>
        <w:t xml:space="preserve">(пп. "е" введен </w:t>
      </w:r>
      <w:hyperlink w:history="0" r:id="rId6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Исследование психофизиологических функций проводится не ранее чем через 3 дня после введения препаратов, расширяющих зрачок.</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Перечню медицинских исследований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118"/>
        <w:gridCol w:w="1928"/>
        <w:gridCol w:w="2154"/>
        <w:gridCol w:w="2154"/>
      </w:tblGrid>
      <w:tr>
        <w:tc>
          <w:tcPr>
            <w:tcW w:w="510" w:type="dxa"/>
          </w:tcPr>
          <w:p>
            <w:pPr>
              <w:pStyle w:val="0"/>
              <w:jc w:val="center"/>
            </w:pPr>
            <w:r>
              <w:rPr>
                <w:sz w:val="20"/>
              </w:rPr>
              <w:t xml:space="preserve">N п/п</w:t>
            </w:r>
          </w:p>
        </w:tc>
        <w:tc>
          <w:tcPr>
            <w:tcW w:w="3118" w:type="dxa"/>
          </w:tcPr>
          <w:p>
            <w:pPr>
              <w:pStyle w:val="0"/>
              <w:jc w:val="center"/>
            </w:pPr>
            <w:r>
              <w:rPr>
                <w:sz w:val="20"/>
              </w:rPr>
              <w:t xml:space="preserve">Лабораторные и диагностические исследования</w:t>
            </w:r>
          </w:p>
        </w:tc>
        <w:tc>
          <w:tcPr>
            <w:tcW w:w="1928" w:type="dxa"/>
          </w:tcPr>
          <w:p>
            <w:pPr>
              <w:pStyle w:val="0"/>
              <w:jc w:val="center"/>
            </w:pPr>
            <w:r>
              <w:rPr>
                <w:sz w:val="20"/>
              </w:rPr>
              <w:t xml:space="preserve">Медицинское заключение 1 класса</w:t>
            </w:r>
          </w:p>
        </w:tc>
        <w:tc>
          <w:tcPr>
            <w:tcW w:w="2154" w:type="dxa"/>
          </w:tcPr>
          <w:p>
            <w:pPr>
              <w:pStyle w:val="0"/>
              <w:jc w:val="center"/>
            </w:pPr>
            <w:r>
              <w:rPr>
                <w:sz w:val="20"/>
              </w:rPr>
              <w:t xml:space="preserve">Медицинское заключение 2 класса</w:t>
            </w:r>
          </w:p>
        </w:tc>
        <w:tc>
          <w:tcPr>
            <w:tcW w:w="2154" w:type="dxa"/>
          </w:tcPr>
          <w:p>
            <w:pPr>
              <w:pStyle w:val="0"/>
              <w:jc w:val="center"/>
            </w:pPr>
            <w:r>
              <w:rPr>
                <w:sz w:val="20"/>
              </w:rPr>
              <w:t xml:space="preserve">Медицинское заключение 3 класса</w:t>
            </w:r>
          </w:p>
        </w:tc>
      </w:tr>
      <w:tr>
        <w:tc>
          <w:tcPr>
            <w:tcW w:w="510" w:type="dxa"/>
          </w:tcPr>
          <w:p>
            <w:pPr>
              <w:pStyle w:val="0"/>
            </w:pPr>
            <w:r>
              <w:rPr>
                <w:sz w:val="20"/>
              </w:rPr>
              <w:t xml:space="preserve">1.</w:t>
            </w:r>
          </w:p>
        </w:tc>
        <w:tc>
          <w:tcPr>
            <w:tcW w:w="3118" w:type="dxa"/>
          </w:tcPr>
          <w:p>
            <w:pPr>
              <w:pStyle w:val="0"/>
              <w:jc w:val="both"/>
            </w:pPr>
            <w:r>
              <w:rPr>
                <w:sz w:val="20"/>
              </w:rPr>
              <w:t xml:space="preserve">Клинический анализ крови, глюкоза крови, общий анализ мочи, анализ мочи на психоактивные вещества</w:t>
            </w:r>
          </w:p>
        </w:tc>
        <w:tc>
          <w:tcPr>
            <w:gridSpan w:val="3"/>
            <w:tcW w:w="6236" w:type="dxa"/>
          </w:tcPr>
          <w:p>
            <w:pPr>
              <w:pStyle w:val="0"/>
              <w:jc w:val="center"/>
            </w:pPr>
            <w:r>
              <w:rPr>
                <w:sz w:val="20"/>
              </w:rPr>
              <w:t xml:space="preserve">при каждом медицинском освидетельствовании</w:t>
            </w:r>
          </w:p>
        </w:tc>
      </w:tr>
      <w:tr>
        <w:tc>
          <w:tcPr>
            <w:tcW w:w="510" w:type="dxa"/>
          </w:tcPr>
          <w:p>
            <w:pPr>
              <w:pStyle w:val="0"/>
            </w:pPr>
            <w:r>
              <w:rPr>
                <w:sz w:val="20"/>
              </w:rPr>
              <w:t xml:space="preserve">2.</w:t>
            </w:r>
          </w:p>
        </w:tc>
        <w:tc>
          <w:tcPr>
            <w:tcW w:w="3118" w:type="dxa"/>
          </w:tcPr>
          <w:p>
            <w:pPr>
              <w:pStyle w:val="0"/>
            </w:pPr>
            <w:r>
              <w:rPr>
                <w:sz w:val="20"/>
              </w:rPr>
              <w:t xml:space="preserve">Анализ крови на группу и резус-фактор, сифилис (реакция микропреципитации с кардиолипиновым антигеном или ее аналоги или трепонемные тесты), ВИЧ-инфекцию, гепатиты B и C</w:t>
            </w:r>
          </w:p>
        </w:tc>
        <w:tc>
          <w:tcPr>
            <w:gridSpan w:val="3"/>
            <w:tcW w:w="6236" w:type="dxa"/>
          </w:tcPr>
          <w:p>
            <w:pPr>
              <w:pStyle w:val="0"/>
              <w:jc w:val="center"/>
            </w:pPr>
            <w:r>
              <w:rPr>
                <w:sz w:val="20"/>
              </w:rPr>
              <w:t xml:space="preserve">при первичном медицинском освидетельствовании;</w:t>
            </w:r>
          </w:p>
          <w:p>
            <w:pPr>
              <w:pStyle w:val="0"/>
              <w:jc w:val="center"/>
            </w:pPr>
            <w:r>
              <w:rPr>
                <w:sz w:val="20"/>
              </w:rPr>
              <w:t xml:space="preserve">при медицинском обследовании в стационарных условиях;</w:t>
            </w:r>
          </w:p>
          <w:p>
            <w:pPr>
              <w:pStyle w:val="0"/>
              <w:jc w:val="center"/>
            </w:pPr>
            <w:r>
              <w:rPr>
                <w:sz w:val="20"/>
              </w:rPr>
              <w:t xml:space="preserve">по медицинским показаниям</w:t>
            </w:r>
          </w:p>
        </w:tc>
      </w:tr>
      <w:tr>
        <w:tc>
          <w:tcPr>
            <w:tcW w:w="510" w:type="dxa"/>
          </w:tcPr>
          <w:p>
            <w:pPr>
              <w:pStyle w:val="0"/>
            </w:pPr>
            <w:r>
              <w:rPr>
                <w:sz w:val="20"/>
              </w:rPr>
              <w:t xml:space="preserve">3.</w:t>
            </w:r>
          </w:p>
        </w:tc>
        <w:tc>
          <w:tcPr>
            <w:tcW w:w="3118" w:type="dxa"/>
          </w:tcPr>
          <w:p>
            <w:pPr>
              <w:pStyle w:val="0"/>
            </w:pPr>
            <w:r>
              <w:rPr>
                <w:sz w:val="20"/>
              </w:rPr>
              <w:t xml:space="preserve">Биохимические исследования крови:</w:t>
            </w:r>
          </w:p>
          <w:p>
            <w:pPr>
              <w:pStyle w:val="0"/>
            </w:pPr>
            <w:r>
              <w:rPr>
                <w:sz w:val="20"/>
              </w:rPr>
              <w:t xml:space="preserve">общий холестерин, креатинин</w:t>
            </w:r>
          </w:p>
        </w:tc>
        <w:tc>
          <w:tcPr>
            <w:tcW w:w="1928" w:type="dxa"/>
          </w:tcPr>
          <w:p>
            <w:pPr>
              <w:pStyle w:val="0"/>
              <w:jc w:val="center"/>
            </w:pPr>
            <w:r>
              <w:rPr>
                <w:sz w:val="20"/>
              </w:rPr>
              <w:t xml:space="preserve">в возрасте 40 лет и более при каждом медицинском освидетельствовании</w:t>
            </w:r>
          </w:p>
        </w:tc>
        <w:tc>
          <w:tcPr>
            <w:tcW w:w="2154" w:type="dxa"/>
          </w:tcPr>
          <w:p>
            <w:pPr>
              <w:pStyle w:val="0"/>
              <w:jc w:val="center"/>
            </w:pPr>
            <w:r>
              <w:rPr>
                <w:sz w:val="20"/>
              </w:rPr>
              <w:t xml:space="preserve">в возрасте 50 лет и более при каждом медицинском освидетельствовании</w:t>
            </w:r>
          </w:p>
        </w:tc>
        <w:tc>
          <w:tcPr>
            <w:tcW w:w="2154" w:type="dxa"/>
          </w:tcPr>
          <w:p>
            <w:pPr>
              <w:pStyle w:val="0"/>
              <w:jc w:val="center"/>
            </w:pPr>
            <w:r>
              <w:rPr>
                <w:sz w:val="20"/>
              </w:rPr>
              <w:t xml:space="preserve">в возрасте 45 лет и более при каждом медицинском освидетельствовании</w:t>
            </w:r>
          </w:p>
        </w:tc>
      </w:tr>
      <w:tr>
        <w:tc>
          <w:tcPr>
            <w:tcW w:w="510" w:type="dxa"/>
          </w:tcPr>
          <w:p>
            <w:pPr>
              <w:pStyle w:val="0"/>
            </w:pPr>
            <w:r>
              <w:rPr>
                <w:sz w:val="20"/>
              </w:rPr>
              <w:t xml:space="preserve">3.1</w:t>
            </w:r>
          </w:p>
        </w:tc>
        <w:tc>
          <w:tcPr>
            <w:tcW w:w="3118" w:type="dxa"/>
          </w:tcPr>
          <w:p>
            <w:pPr>
              <w:pStyle w:val="0"/>
            </w:pPr>
            <w:r>
              <w:rPr>
                <w:sz w:val="20"/>
              </w:rPr>
              <w:t xml:space="preserve">Гликированный гемоглобин, общий холестерин, липопротеиды низкой плотности, липопротеиды высокой плотности, триглицериды, билирубин и его фракции, ферменты аспартатаминотрансфераза, аланинаминотрансфераза, гамма-глутамилтранспептидаза щелочная фосфатаза;</w:t>
            </w:r>
          </w:p>
          <w:p>
            <w:pPr>
              <w:pStyle w:val="0"/>
            </w:pPr>
            <w:r>
              <w:rPr>
                <w:sz w:val="20"/>
              </w:rPr>
              <w:t xml:space="preserve">креатинин (с расчетом скорости клубочковой фильтрации), мочевая кислота</w:t>
            </w:r>
          </w:p>
        </w:tc>
        <w:tc>
          <w:tcPr>
            <w:tcW w:w="1928" w:type="dxa"/>
          </w:tcPr>
          <w:p>
            <w:pPr>
              <w:pStyle w:val="0"/>
              <w:jc w:val="center"/>
            </w:pPr>
            <w:r>
              <w:rPr>
                <w:sz w:val="20"/>
              </w:rPr>
              <w:t xml:space="preserve">в возрасте 40 лет, далее через 3 года</w:t>
            </w:r>
          </w:p>
        </w:tc>
        <w:tc>
          <w:tcPr>
            <w:tcW w:w="2154" w:type="dxa"/>
          </w:tcPr>
          <w:p>
            <w:pPr>
              <w:pStyle w:val="0"/>
              <w:jc w:val="center"/>
            </w:pPr>
            <w:r>
              <w:rPr>
                <w:sz w:val="20"/>
              </w:rPr>
              <w:t xml:space="preserve">в возрасте 50 лет, далее через 5 лет при очередном медицинском освидетельствовании</w:t>
            </w:r>
          </w:p>
        </w:tc>
        <w:tc>
          <w:tcPr>
            <w:tcW w:w="2154" w:type="dxa"/>
          </w:tcPr>
          <w:p>
            <w:pPr>
              <w:pStyle w:val="0"/>
              <w:jc w:val="center"/>
            </w:pPr>
            <w:r>
              <w:rPr>
                <w:sz w:val="20"/>
              </w:rPr>
              <w:t xml:space="preserve">в возрасте 45 лет, далее через 5 лет при очередном медицинском освидетельствовании</w:t>
            </w:r>
          </w:p>
        </w:tc>
      </w:tr>
      <w:tr>
        <w:tc>
          <w:tcPr>
            <w:tcW w:w="510" w:type="dxa"/>
          </w:tcPr>
          <w:p>
            <w:pPr>
              <w:pStyle w:val="0"/>
            </w:pPr>
            <w:r>
              <w:rPr>
                <w:sz w:val="20"/>
              </w:rPr>
              <w:t xml:space="preserve">4.</w:t>
            </w:r>
          </w:p>
        </w:tc>
        <w:tc>
          <w:tcPr>
            <w:tcW w:w="3118" w:type="dxa"/>
          </w:tcPr>
          <w:p>
            <w:pPr>
              <w:pStyle w:val="0"/>
            </w:pPr>
            <w:r>
              <w:rPr>
                <w:sz w:val="20"/>
              </w:rPr>
              <w:t xml:space="preserve">Исследование крови:</w:t>
            </w:r>
          </w:p>
          <w:p>
            <w:pPr>
              <w:pStyle w:val="0"/>
            </w:pPr>
            <w:r>
              <w:rPr>
                <w:sz w:val="20"/>
              </w:rPr>
              <w:t xml:space="preserve">на простатспецифический антиген (для мужчин);</w:t>
            </w:r>
          </w:p>
          <w:p>
            <w:pPr>
              <w:pStyle w:val="0"/>
            </w:pPr>
            <w:r>
              <w:rPr>
                <w:sz w:val="20"/>
              </w:rPr>
              <w:t xml:space="preserve">на CA-125 (для женщин)</w:t>
            </w:r>
          </w:p>
        </w:tc>
        <w:tc>
          <w:tcPr>
            <w:gridSpan w:val="3"/>
            <w:tcW w:w="6236" w:type="dxa"/>
            <w:vAlign w:val="center"/>
          </w:tcPr>
          <w:p>
            <w:pPr>
              <w:pStyle w:val="0"/>
              <w:jc w:val="center"/>
            </w:pPr>
            <w:r>
              <w:rPr>
                <w:sz w:val="20"/>
              </w:rPr>
              <w:t xml:space="preserve">в возрасте 45, 50, 55, 60 лет и более ежегодно</w:t>
            </w:r>
          </w:p>
        </w:tc>
      </w:tr>
      <w:tr>
        <w:tc>
          <w:tcPr>
            <w:tcW w:w="510" w:type="dxa"/>
          </w:tcPr>
          <w:p>
            <w:pPr>
              <w:pStyle w:val="0"/>
            </w:pPr>
            <w:r>
              <w:rPr>
                <w:sz w:val="20"/>
              </w:rPr>
              <w:t xml:space="preserve">5.</w:t>
            </w:r>
          </w:p>
        </w:tc>
        <w:tc>
          <w:tcPr>
            <w:tcW w:w="3118" w:type="dxa"/>
          </w:tcPr>
          <w:p>
            <w:pPr>
              <w:pStyle w:val="0"/>
            </w:pPr>
            <w:r>
              <w:rPr>
                <w:sz w:val="20"/>
              </w:rPr>
              <w:t xml:space="preserve">Исследование кала на скрытую кровь</w:t>
            </w:r>
          </w:p>
        </w:tc>
        <w:tc>
          <w:tcPr>
            <w:tcW w:w="1928" w:type="dxa"/>
          </w:tcPr>
          <w:p>
            <w:pPr>
              <w:pStyle w:val="0"/>
              <w:jc w:val="center"/>
            </w:pPr>
            <w:r>
              <w:rPr>
                <w:sz w:val="20"/>
              </w:rPr>
              <w:t xml:space="preserve">1 раз в 2 года в возрасте от 40 до 64 лет, после 65 лет ежегодно</w:t>
            </w:r>
          </w:p>
        </w:tc>
        <w:tc>
          <w:tcPr>
            <w:tcW w:w="2154" w:type="dxa"/>
          </w:tcPr>
          <w:p>
            <w:pPr>
              <w:pStyle w:val="0"/>
              <w:jc w:val="center"/>
            </w:pPr>
            <w:r>
              <w:rPr>
                <w:sz w:val="20"/>
              </w:rPr>
              <w:t xml:space="preserve">по медицинским показаниям</w:t>
            </w:r>
          </w:p>
        </w:tc>
        <w:tc>
          <w:tcPr>
            <w:tcW w:w="2154" w:type="dxa"/>
          </w:tcPr>
          <w:p>
            <w:pPr>
              <w:pStyle w:val="0"/>
              <w:jc w:val="center"/>
            </w:pPr>
            <w:r>
              <w:rPr>
                <w:sz w:val="20"/>
              </w:rPr>
              <w:t xml:space="preserve">1 раз в 2 года в возрасте от 40 до 64 лет, после 65 лет ежегодно</w:t>
            </w:r>
          </w:p>
        </w:tc>
      </w:tr>
      <w:tr>
        <w:tc>
          <w:tcPr>
            <w:tcW w:w="510" w:type="dxa"/>
          </w:tcPr>
          <w:p>
            <w:pPr>
              <w:pStyle w:val="0"/>
            </w:pPr>
            <w:r>
              <w:rPr>
                <w:sz w:val="20"/>
              </w:rPr>
              <w:t xml:space="preserve">6.</w:t>
            </w:r>
          </w:p>
        </w:tc>
        <w:tc>
          <w:tcPr>
            <w:tcW w:w="3118" w:type="dxa"/>
          </w:tcPr>
          <w:p>
            <w:pPr>
              <w:pStyle w:val="0"/>
            </w:pPr>
            <w:r>
              <w:rPr>
                <w:sz w:val="20"/>
              </w:rPr>
              <w:t xml:space="preserve">Взятие мазка с шейки матки, цитологическое исследование мазка с шейки матки при его окрашивании по Папаниколау (другие способы окраски не допускаются)</w:t>
            </w:r>
          </w:p>
        </w:tc>
        <w:tc>
          <w:tcPr>
            <w:gridSpan w:val="3"/>
            <w:tcW w:w="6236" w:type="dxa"/>
            <w:vAlign w:val="center"/>
          </w:tcPr>
          <w:p>
            <w:pPr>
              <w:pStyle w:val="0"/>
              <w:jc w:val="center"/>
            </w:pPr>
            <w:r>
              <w:rPr>
                <w:sz w:val="20"/>
              </w:rPr>
              <w:t xml:space="preserve">для женщин с 18 лет при каждом медицинском освидетельствовании</w:t>
            </w:r>
          </w:p>
        </w:tc>
      </w:tr>
      <w:tr>
        <w:tc>
          <w:tcPr>
            <w:tcW w:w="510" w:type="dxa"/>
          </w:tcPr>
          <w:p>
            <w:pPr>
              <w:pStyle w:val="0"/>
            </w:pPr>
            <w:r>
              <w:rPr>
                <w:sz w:val="20"/>
              </w:rPr>
              <w:t xml:space="preserve">7.</w:t>
            </w:r>
          </w:p>
        </w:tc>
        <w:tc>
          <w:tcPr>
            <w:tcW w:w="3118" w:type="dxa"/>
          </w:tcPr>
          <w:p>
            <w:pPr>
              <w:pStyle w:val="0"/>
            </w:pPr>
            <w:r>
              <w:rPr>
                <w:sz w:val="20"/>
              </w:rPr>
              <w:t xml:space="preserve">Рентгенография легких или флюорография легких цифровая</w:t>
            </w:r>
          </w:p>
        </w:tc>
        <w:tc>
          <w:tcPr>
            <w:gridSpan w:val="3"/>
            <w:tcW w:w="6236" w:type="dxa"/>
          </w:tcPr>
          <w:p>
            <w:pPr>
              <w:pStyle w:val="0"/>
              <w:jc w:val="center"/>
            </w:pPr>
            <w:r>
              <w:rPr>
                <w:sz w:val="20"/>
              </w:rPr>
              <w:t xml:space="preserve">при первичном медицинском освидетельствовании;</w:t>
            </w:r>
          </w:p>
          <w:p>
            <w:pPr>
              <w:pStyle w:val="0"/>
              <w:jc w:val="center"/>
            </w:pPr>
            <w:r>
              <w:rPr>
                <w:sz w:val="20"/>
              </w:rPr>
              <w:t xml:space="preserve">при медицинском освидетельствовании 1 раз в два года;</w:t>
            </w:r>
          </w:p>
          <w:p>
            <w:pPr>
              <w:pStyle w:val="0"/>
              <w:jc w:val="center"/>
            </w:pPr>
            <w:r>
              <w:rPr>
                <w:sz w:val="20"/>
              </w:rPr>
              <w:t xml:space="preserve">по медицинским показаниям</w:t>
            </w:r>
          </w:p>
        </w:tc>
      </w:tr>
      <w:tr>
        <w:tc>
          <w:tcPr>
            <w:tcW w:w="510" w:type="dxa"/>
          </w:tcPr>
          <w:p>
            <w:pPr>
              <w:pStyle w:val="0"/>
            </w:pPr>
            <w:r>
              <w:rPr>
                <w:sz w:val="20"/>
              </w:rPr>
              <w:t xml:space="preserve">8.</w:t>
            </w:r>
          </w:p>
        </w:tc>
        <w:tc>
          <w:tcPr>
            <w:tcW w:w="3118" w:type="dxa"/>
          </w:tcPr>
          <w:p>
            <w:pPr>
              <w:pStyle w:val="0"/>
            </w:pPr>
            <w:r>
              <w:rPr>
                <w:sz w:val="20"/>
              </w:rPr>
              <w:t xml:space="preserve">Маммография обеих молочных желез в двух проекциях</w:t>
            </w:r>
          </w:p>
        </w:tc>
        <w:tc>
          <w:tcPr>
            <w:gridSpan w:val="3"/>
            <w:tcW w:w="6236" w:type="dxa"/>
            <w:vAlign w:val="center"/>
          </w:tcPr>
          <w:p>
            <w:pPr>
              <w:pStyle w:val="0"/>
              <w:jc w:val="center"/>
            </w:pPr>
            <w:r>
              <w:rPr>
                <w:sz w:val="20"/>
              </w:rPr>
              <w:t xml:space="preserve">для женщин по достижении 40 лет 1 раз в два года</w:t>
            </w:r>
          </w:p>
        </w:tc>
      </w:tr>
      <w:tr>
        <w:tc>
          <w:tcPr>
            <w:tcW w:w="510" w:type="dxa"/>
          </w:tcPr>
          <w:p>
            <w:pPr>
              <w:pStyle w:val="0"/>
            </w:pPr>
            <w:r>
              <w:rPr>
                <w:sz w:val="20"/>
              </w:rPr>
              <w:t xml:space="preserve">9.</w:t>
            </w:r>
          </w:p>
        </w:tc>
        <w:tc>
          <w:tcPr>
            <w:tcW w:w="3118" w:type="dxa"/>
          </w:tcPr>
          <w:p>
            <w:pPr>
              <w:pStyle w:val="0"/>
            </w:pPr>
            <w:r>
              <w:rPr>
                <w:sz w:val="20"/>
              </w:rPr>
              <w:t xml:space="preserve">Рентгенография придаточных пазух носа</w:t>
            </w:r>
          </w:p>
        </w:tc>
        <w:tc>
          <w:tcPr>
            <w:gridSpan w:val="2"/>
            <w:tcW w:w="4082" w:type="dxa"/>
          </w:tcPr>
          <w:p>
            <w:pPr>
              <w:pStyle w:val="0"/>
              <w:jc w:val="center"/>
            </w:pPr>
            <w:r>
              <w:rPr>
                <w:sz w:val="20"/>
              </w:rPr>
              <w:t xml:space="preserve">при первичном медицинском освидетельствовании;</w:t>
            </w:r>
          </w:p>
          <w:p>
            <w:pPr>
              <w:pStyle w:val="0"/>
              <w:jc w:val="center"/>
            </w:pPr>
            <w:r>
              <w:rPr>
                <w:sz w:val="20"/>
              </w:rPr>
              <w:t xml:space="preserve">по медицинским показаниям</w:t>
            </w:r>
          </w:p>
        </w:tc>
        <w:tc>
          <w:tcPr>
            <w:tcW w:w="2154" w:type="dxa"/>
          </w:tcPr>
          <w:p>
            <w:pPr>
              <w:pStyle w:val="0"/>
              <w:jc w:val="center"/>
            </w:pPr>
            <w:r>
              <w:rPr>
                <w:sz w:val="20"/>
              </w:rPr>
              <w:t xml:space="preserve">по медицинским показаниям</w:t>
            </w:r>
          </w:p>
        </w:tc>
      </w:tr>
      <w:tr>
        <w:tc>
          <w:tcPr>
            <w:tcW w:w="510" w:type="dxa"/>
          </w:tcPr>
          <w:p>
            <w:pPr>
              <w:pStyle w:val="0"/>
            </w:pPr>
            <w:r>
              <w:rPr>
                <w:sz w:val="20"/>
              </w:rPr>
              <w:t xml:space="preserve">10.</w:t>
            </w:r>
          </w:p>
        </w:tc>
        <w:tc>
          <w:tcPr>
            <w:tcW w:w="3118" w:type="dxa"/>
          </w:tcPr>
          <w:p>
            <w:pPr>
              <w:pStyle w:val="0"/>
            </w:pPr>
            <w:r>
              <w:rPr>
                <w:sz w:val="20"/>
              </w:rPr>
              <w:t xml:space="preserve">Электроэнцефалография</w:t>
            </w:r>
          </w:p>
        </w:tc>
        <w:tc>
          <w:tcPr>
            <w:gridSpan w:val="3"/>
            <w:tcW w:w="6236" w:type="dxa"/>
          </w:tcPr>
          <w:p>
            <w:pPr>
              <w:pStyle w:val="0"/>
              <w:jc w:val="center"/>
            </w:pPr>
            <w:r>
              <w:rPr>
                <w:sz w:val="20"/>
              </w:rPr>
              <w:t xml:space="preserve">при первичном медицинском освидетельствовании;</w:t>
            </w:r>
          </w:p>
          <w:p>
            <w:pPr>
              <w:pStyle w:val="0"/>
              <w:jc w:val="center"/>
            </w:pPr>
            <w:r>
              <w:rPr>
                <w:sz w:val="20"/>
              </w:rPr>
              <w:t xml:space="preserve">по медицинским показаниям</w:t>
            </w:r>
          </w:p>
        </w:tc>
      </w:tr>
      <w:tr>
        <w:tc>
          <w:tcPr>
            <w:tcW w:w="510" w:type="dxa"/>
          </w:tcPr>
          <w:p>
            <w:pPr>
              <w:pStyle w:val="0"/>
            </w:pPr>
            <w:r>
              <w:rPr>
                <w:sz w:val="20"/>
              </w:rPr>
              <w:t xml:space="preserve">11.</w:t>
            </w:r>
          </w:p>
        </w:tc>
        <w:tc>
          <w:tcPr>
            <w:tcW w:w="3118" w:type="dxa"/>
          </w:tcPr>
          <w:p>
            <w:pPr>
              <w:pStyle w:val="0"/>
            </w:pPr>
            <w:r>
              <w:rPr>
                <w:sz w:val="20"/>
              </w:rPr>
              <w:t xml:space="preserve">Электрокардиография в покое</w:t>
            </w:r>
          </w:p>
          <w:p>
            <w:pPr>
              <w:pStyle w:val="0"/>
            </w:pPr>
            <w:r>
              <w:rPr>
                <w:sz w:val="20"/>
              </w:rPr>
              <w:t xml:space="preserve">(12 отведений по Вильсону)</w:t>
            </w:r>
          </w:p>
        </w:tc>
        <w:tc>
          <w:tcPr>
            <w:tcW w:w="1928" w:type="dxa"/>
          </w:tcPr>
          <w:p>
            <w:pPr>
              <w:pStyle w:val="0"/>
              <w:jc w:val="center"/>
            </w:pPr>
            <w:r>
              <w:rPr>
                <w:sz w:val="20"/>
              </w:rPr>
              <w:t xml:space="preserve">при каждом медицинском освидетельствовании;</w:t>
            </w:r>
          </w:p>
          <w:p>
            <w:pPr>
              <w:pStyle w:val="0"/>
              <w:jc w:val="center"/>
            </w:pPr>
            <w:r>
              <w:rPr>
                <w:sz w:val="20"/>
              </w:rPr>
              <w:t xml:space="preserve">при достижении возраста 50 лет - 1 раз в 6 месяцев;</w:t>
            </w:r>
          </w:p>
          <w:p>
            <w:pPr>
              <w:pStyle w:val="0"/>
              <w:jc w:val="center"/>
            </w:pPr>
            <w:r>
              <w:rPr>
                <w:sz w:val="20"/>
              </w:rPr>
              <w:t xml:space="preserve">по медицинским показаниям</w:t>
            </w:r>
          </w:p>
        </w:tc>
        <w:tc>
          <w:tcPr>
            <w:tcW w:w="2154" w:type="dxa"/>
          </w:tcPr>
          <w:p>
            <w:pPr>
              <w:pStyle w:val="0"/>
              <w:jc w:val="center"/>
            </w:pPr>
            <w:r>
              <w:rPr>
                <w:sz w:val="20"/>
              </w:rPr>
              <w:t xml:space="preserve">при каждом медицинском освидетельствовании;</w:t>
            </w:r>
          </w:p>
          <w:p>
            <w:pPr>
              <w:pStyle w:val="0"/>
              <w:jc w:val="center"/>
            </w:pPr>
            <w:r>
              <w:rPr>
                <w:sz w:val="20"/>
              </w:rPr>
              <w:t xml:space="preserve">по медицинским показаниям</w:t>
            </w:r>
          </w:p>
        </w:tc>
        <w:tc>
          <w:tcPr>
            <w:tcW w:w="2154" w:type="dxa"/>
          </w:tcPr>
          <w:p>
            <w:pPr>
              <w:pStyle w:val="0"/>
              <w:jc w:val="center"/>
            </w:pPr>
            <w:r>
              <w:rPr>
                <w:sz w:val="20"/>
              </w:rPr>
              <w:t xml:space="preserve">при каждом медицинском освидетельствовании по медицинским показаниям</w:t>
            </w:r>
          </w:p>
        </w:tc>
      </w:tr>
      <w:tr>
        <w:tc>
          <w:tcPr>
            <w:tcW w:w="510" w:type="dxa"/>
          </w:tcPr>
          <w:p>
            <w:pPr>
              <w:pStyle w:val="0"/>
            </w:pPr>
            <w:r>
              <w:rPr>
                <w:sz w:val="20"/>
              </w:rPr>
              <w:t xml:space="preserve">12.</w:t>
            </w:r>
          </w:p>
        </w:tc>
        <w:tc>
          <w:tcPr>
            <w:tcW w:w="3118" w:type="dxa"/>
          </w:tcPr>
          <w:p>
            <w:pPr>
              <w:pStyle w:val="0"/>
            </w:pPr>
            <w:r>
              <w:rPr>
                <w:sz w:val="20"/>
              </w:rPr>
              <w:t xml:space="preserve">Электрокардиография с физической нагрузкой (велоэргометрия или тредмил-тест)</w:t>
            </w:r>
          </w:p>
        </w:tc>
        <w:tc>
          <w:tcPr>
            <w:tcW w:w="1928" w:type="dxa"/>
          </w:tcPr>
          <w:p>
            <w:pPr>
              <w:pStyle w:val="0"/>
              <w:jc w:val="center"/>
            </w:pPr>
            <w:r>
              <w:rPr>
                <w:sz w:val="20"/>
              </w:rPr>
              <w:t xml:space="preserve">в возрасте 40 лет, 45 лет, 50 лет, 55 лет, 60 лет и более ежегодно;</w:t>
            </w:r>
          </w:p>
          <w:p>
            <w:pPr>
              <w:pStyle w:val="0"/>
              <w:jc w:val="center"/>
            </w:pPr>
            <w:r>
              <w:rPr>
                <w:sz w:val="20"/>
              </w:rPr>
              <w:t xml:space="preserve">по медицинским показаниям</w:t>
            </w:r>
          </w:p>
        </w:tc>
        <w:tc>
          <w:tcPr>
            <w:tcW w:w="2154" w:type="dxa"/>
          </w:tcPr>
          <w:p>
            <w:pPr>
              <w:pStyle w:val="0"/>
              <w:jc w:val="center"/>
            </w:pPr>
            <w:r>
              <w:rPr>
                <w:sz w:val="20"/>
              </w:rPr>
              <w:t xml:space="preserve">по медицинским показаниям:</w:t>
            </w:r>
          </w:p>
          <w:p>
            <w:pPr>
              <w:pStyle w:val="0"/>
              <w:jc w:val="center"/>
            </w:pPr>
            <w:r>
              <w:rPr>
                <w:sz w:val="20"/>
              </w:rPr>
              <w:t xml:space="preserve">изменение электрокардиограммы в динамике, нарушения ритма и проводимости сердца, признаки кардиомиопатии, пролапс митрального клапана, комбинированные пороки сердца, артериальная гипертония, нарушения липидного и углеводного обмена</w:t>
            </w:r>
          </w:p>
        </w:tc>
        <w:tc>
          <w:tcPr>
            <w:tcW w:w="2154" w:type="dxa"/>
          </w:tcPr>
          <w:p>
            <w:pPr>
              <w:pStyle w:val="0"/>
              <w:jc w:val="center"/>
            </w:pPr>
            <w:r>
              <w:rPr>
                <w:sz w:val="20"/>
              </w:rPr>
              <w:t xml:space="preserve">по медицинским показаниям:</w:t>
            </w:r>
          </w:p>
          <w:p>
            <w:pPr>
              <w:pStyle w:val="0"/>
              <w:jc w:val="center"/>
            </w:pPr>
            <w:r>
              <w:rPr>
                <w:sz w:val="20"/>
              </w:rPr>
              <w:t xml:space="preserve">изменение электрокардиограммы в динамике, нарушения ритма и проводимости сердца, признаки кардиомиопатии, пролапс митрального клапана, комбинированные пороки сердца, артериальная гипертония, нарушения липидного и углеводного обмена</w:t>
            </w:r>
          </w:p>
        </w:tc>
      </w:tr>
      <w:tr>
        <w:tc>
          <w:tcPr>
            <w:tcW w:w="510" w:type="dxa"/>
          </w:tcPr>
          <w:p>
            <w:pPr>
              <w:pStyle w:val="0"/>
            </w:pPr>
            <w:r>
              <w:rPr>
                <w:sz w:val="20"/>
              </w:rPr>
              <w:t xml:space="preserve">13.</w:t>
            </w:r>
          </w:p>
        </w:tc>
        <w:tc>
          <w:tcPr>
            <w:tcW w:w="3118" w:type="dxa"/>
          </w:tcPr>
          <w:p>
            <w:pPr>
              <w:pStyle w:val="0"/>
            </w:pPr>
            <w:r>
              <w:rPr>
                <w:sz w:val="20"/>
              </w:rPr>
              <w:t xml:space="preserve">Ультразвуковое исследование внутренних органов (брюшная полость, почки, щитовидная железа, органы малого таза)</w:t>
            </w:r>
          </w:p>
        </w:tc>
        <w:tc>
          <w:tcPr>
            <w:tcW w:w="1928" w:type="dxa"/>
          </w:tcPr>
          <w:p>
            <w:pPr>
              <w:pStyle w:val="0"/>
              <w:jc w:val="center"/>
            </w:pPr>
            <w:r>
              <w:rPr>
                <w:sz w:val="20"/>
              </w:rPr>
              <w:t xml:space="preserve">в возрасте 40 лет; далее - каждые 5 лет;</w:t>
            </w:r>
          </w:p>
          <w:p>
            <w:pPr>
              <w:pStyle w:val="0"/>
              <w:jc w:val="center"/>
            </w:pPr>
            <w:r>
              <w:rPr>
                <w:sz w:val="20"/>
              </w:rPr>
              <w:t xml:space="preserve">по медицинским показаниям</w:t>
            </w:r>
          </w:p>
        </w:tc>
        <w:tc>
          <w:tcPr>
            <w:tcW w:w="2154" w:type="dxa"/>
          </w:tcPr>
          <w:p>
            <w:pPr>
              <w:pStyle w:val="0"/>
              <w:jc w:val="center"/>
            </w:pPr>
            <w:r>
              <w:rPr>
                <w:sz w:val="20"/>
              </w:rPr>
              <w:t xml:space="preserve">по медицинским показаниям</w:t>
            </w:r>
          </w:p>
        </w:tc>
        <w:tc>
          <w:tcPr>
            <w:tcW w:w="2154" w:type="dxa"/>
          </w:tcPr>
          <w:p>
            <w:pPr>
              <w:pStyle w:val="0"/>
              <w:jc w:val="center"/>
            </w:pPr>
            <w:r>
              <w:rPr>
                <w:sz w:val="20"/>
              </w:rPr>
              <w:t xml:space="preserve">в возрасте 45 лет, далее - каждые 5 лет при очередном медицинском освидетельствовании по медицинским показаниям</w:t>
            </w:r>
          </w:p>
        </w:tc>
      </w:tr>
      <w:tr>
        <w:tc>
          <w:tcPr>
            <w:tcW w:w="510" w:type="dxa"/>
          </w:tcPr>
          <w:p>
            <w:pPr>
              <w:pStyle w:val="0"/>
            </w:pPr>
            <w:r>
              <w:rPr>
                <w:sz w:val="20"/>
              </w:rPr>
              <w:t xml:space="preserve">14.</w:t>
            </w:r>
          </w:p>
        </w:tc>
        <w:tc>
          <w:tcPr>
            <w:tcW w:w="3118" w:type="dxa"/>
          </w:tcPr>
          <w:p>
            <w:pPr>
              <w:pStyle w:val="0"/>
            </w:pPr>
            <w:r>
              <w:rPr>
                <w:sz w:val="20"/>
              </w:rPr>
              <w:t xml:space="preserve">Ультразвуковое исследование брахиоцефальных артерий</w:t>
            </w:r>
          </w:p>
        </w:tc>
        <w:tc>
          <w:tcPr>
            <w:tcW w:w="1928" w:type="dxa"/>
          </w:tcPr>
          <w:p>
            <w:pPr>
              <w:pStyle w:val="0"/>
              <w:jc w:val="center"/>
            </w:pPr>
            <w:r>
              <w:rPr>
                <w:sz w:val="20"/>
              </w:rPr>
              <w:t xml:space="preserve">в возрасте 40, 45, 50, 55 лет и более - при каждом медицинском освидетельствовании;</w:t>
            </w:r>
          </w:p>
          <w:p>
            <w:pPr>
              <w:pStyle w:val="0"/>
              <w:jc w:val="center"/>
            </w:pPr>
            <w:r>
              <w:rPr>
                <w:sz w:val="20"/>
              </w:rPr>
              <w:t xml:space="preserve">по медицинским показаниям</w:t>
            </w:r>
          </w:p>
        </w:tc>
        <w:tc>
          <w:tcPr>
            <w:tcW w:w="2154" w:type="dxa"/>
          </w:tcPr>
          <w:p>
            <w:pPr>
              <w:pStyle w:val="0"/>
              <w:jc w:val="center"/>
            </w:pPr>
            <w:r>
              <w:rPr>
                <w:sz w:val="20"/>
              </w:rPr>
              <w:t xml:space="preserve">в возрасте 50, 60, 65 лет;</w:t>
            </w:r>
          </w:p>
          <w:p>
            <w:pPr>
              <w:pStyle w:val="0"/>
              <w:jc w:val="center"/>
            </w:pPr>
            <w:r>
              <w:rPr>
                <w:sz w:val="20"/>
              </w:rPr>
              <w:t xml:space="preserve">по медицинским показаниям</w:t>
            </w:r>
          </w:p>
        </w:tc>
        <w:tc>
          <w:tcPr>
            <w:tcW w:w="2154" w:type="dxa"/>
          </w:tcPr>
          <w:p>
            <w:pPr>
              <w:pStyle w:val="0"/>
              <w:jc w:val="center"/>
            </w:pPr>
            <w:r>
              <w:rPr>
                <w:sz w:val="20"/>
              </w:rPr>
              <w:t xml:space="preserve">в возрасте 50, 55, 60, 65 лет и более при каждом медицинском освидетельствовании по медицинским показаниям</w:t>
            </w:r>
          </w:p>
        </w:tc>
      </w:tr>
      <w:tr>
        <w:tc>
          <w:tcPr>
            <w:tcW w:w="510" w:type="dxa"/>
          </w:tcPr>
          <w:p>
            <w:pPr>
              <w:pStyle w:val="0"/>
            </w:pPr>
            <w:r>
              <w:rPr>
                <w:sz w:val="20"/>
              </w:rPr>
              <w:t xml:space="preserve">15.</w:t>
            </w:r>
          </w:p>
        </w:tc>
        <w:tc>
          <w:tcPr>
            <w:tcW w:w="3118" w:type="dxa"/>
          </w:tcPr>
          <w:p>
            <w:pPr>
              <w:pStyle w:val="0"/>
            </w:pPr>
            <w:r>
              <w:rPr>
                <w:sz w:val="20"/>
              </w:rPr>
              <w:t xml:space="preserve">Эхокардиография, стресс-эхокардиография, суточное мониторирование артериального давления, суточное мониторирование ЭКГ</w:t>
            </w:r>
          </w:p>
        </w:tc>
        <w:tc>
          <w:tcPr>
            <w:gridSpan w:val="3"/>
            <w:tcW w:w="6236" w:type="dxa"/>
          </w:tcPr>
          <w:p>
            <w:pPr>
              <w:pStyle w:val="0"/>
              <w:jc w:val="center"/>
            </w:pPr>
            <w:r>
              <w:rPr>
                <w:sz w:val="20"/>
              </w:rPr>
              <w:t xml:space="preserve">по медицинским показаниям</w:t>
            </w:r>
          </w:p>
        </w:tc>
      </w:tr>
      <w:tr>
        <w:tc>
          <w:tcPr>
            <w:tcW w:w="510" w:type="dxa"/>
          </w:tcPr>
          <w:p>
            <w:pPr>
              <w:pStyle w:val="0"/>
            </w:pPr>
            <w:r>
              <w:rPr>
                <w:sz w:val="20"/>
              </w:rPr>
              <w:t xml:space="preserve">16.</w:t>
            </w:r>
          </w:p>
        </w:tc>
        <w:tc>
          <w:tcPr>
            <w:tcW w:w="3118" w:type="dxa"/>
          </w:tcPr>
          <w:p>
            <w:pPr>
              <w:pStyle w:val="0"/>
            </w:pPr>
            <w:r>
              <w:rPr>
                <w:sz w:val="20"/>
              </w:rPr>
              <w:t xml:space="preserve">Эзофагогастродуоденоскопия</w:t>
            </w:r>
          </w:p>
        </w:tc>
        <w:tc>
          <w:tcPr>
            <w:tcW w:w="1928" w:type="dxa"/>
          </w:tcPr>
          <w:p>
            <w:pPr>
              <w:pStyle w:val="0"/>
              <w:jc w:val="center"/>
            </w:pPr>
            <w:r>
              <w:rPr>
                <w:sz w:val="20"/>
              </w:rPr>
              <w:t xml:space="preserve">в возрасте 45 лет;</w:t>
            </w:r>
          </w:p>
          <w:p>
            <w:pPr>
              <w:pStyle w:val="0"/>
              <w:jc w:val="center"/>
            </w:pPr>
            <w:r>
              <w:rPr>
                <w:sz w:val="20"/>
              </w:rPr>
              <w:t xml:space="preserve">по медицинским показаниям</w:t>
            </w:r>
          </w:p>
        </w:tc>
        <w:tc>
          <w:tcPr>
            <w:gridSpan w:val="2"/>
            <w:tcW w:w="4308" w:type="dxa"/>
          </w:tcPr>
          <w:p>
            <w:pPr>
              <w:pStyle w:val="0"/>
              <w:jc w:val="center"/>
            </w:pPr>
            <w:r>
              <w:rPr>
                <w:sz w:val="20"/>
              </w:rPr>
              <w:t xml:space="preserve">по медицинским показаниям</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w:t>
      </w:r>
    </w:p>
    <w:p>
      <w:pPr>
        <w:pStyle w:val="0"/>
        <w:jc w:val="both"/>
      </w:pPr>
      <w:r>
        <w:rPr>
          <w:sz w:val="20"/>
        </w:rPr>
      </w:r>
    </w:p>
    <w:bookmarkStart w:id="794" w:name="P794"/>
    <w:bookmarkEnd w:id="794"/>
    <w:p>
      <w:pPr>
        <w:pStyle w:val="2"/>
        <w:jc w:val="center"/>
      </w:pPr>
      <w:r>
        <w:rPr>
          <w:sz w:val="20"/>
        </w:rPr>
        <w:t xml:space="preserve">ТРЕБОВАНИЯ</w:t>
      </w:r>
    </w:p>
    <w:p>
      <w:pPr>
        <w:pStyle w:val="2"/>
        <w:jc w:val="center"/>
      </w:pPr>
      <w:r>
        <w:rPr>
          <w:sz w:val="20"/>
        </w:rPr>
        <w:t xml:space="preserve">К СОСТОЯНИЮ ЗДОРОВЬЯ, ПРЕДЪЯВЛЯЕМЫЕ К КАНДИДАТУ НА ПОЛУЧЕНИЕ</w:t>
      </w:r>
    </w:p>
    <w:p>
      <w:pPr>
        <w:pStyle w:val="2"/>
        <w:jc w:val="center"/>
      </w:pPr>
      <w:r>
        <w:rPr>
          <w:sz w:val="20"/>
        </w:rPr>
        <w:t xml:space="preserve">МЕДИЦИНСКОГО ЗАКЛЮЧЕНИЯ 1 КЛАССА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jc w:val="center"/>
      </w:pPr>
      <w:r>
        <w:rPr>
          <w:sz w:val="20"/>
        </w:rPr>
        <w:t xml:space="preserve">I. Сердечно-сосудистая система</w:t>
      </w:r>
    </w:p>
    <w:p>
      <w:pPr>
        <w:pStyle w:val="0"/>
        <w:jc w:val="both"/>
      </w:pPr>
      <w:r>
        <w:rPr>
          <w:sz w:val="20"/>
        </w:rPr>
      </w:r>
    </w:p>
    <w:p>
      <w:pPr>
        <w:pStyle w:val="0"/>
        <w:ind w:firstLine="540"/>
        <w:jc w:val="both"/>
      </w:pPr>
      <w:r>
        <w:rPr>
          <w:sz w:val="20"/>
        </w:rPr>
        <w:t xml:space="preserve">1. Кандидаты на получение медицинского заключения 1 класса признаются годными к обучению и работе в случае отсутствия у них функциональных или структурных органических сердечно-сосудистых заболеваний, препятствующих безопасному выполнению функций, предусмотренных соответствующим свидетельством.</w:t>
      </w:r>
    </w:p>
    <w:p>
      <w:pPr>
        <w:pStyle w:val="0"/>
        <w:spacing w:before="200" w:line-rule="auto"/>
        <w:ind w:firstLine="540"/>
        <w:jc w:val="both"/>
      </w:pPr>
      <w:r>
        <w:rPr>
          <w:sz w:val="20"/>
        </w:rPr>
        <w:t xml:space="preserve">У кандидатов на получение медицинского заключения 1 класса в возрасте от 40 лет и старше проводится оценка сердечно-сосудистого риска согласно критериям стратификации сердечно-сосудистого риска в соответствии с клиническими рекомендациями.</w:t>
      </w:r>
    </w:p>
    <w:p>
      <w:pPr>
        <w:pStyle w:val="0"/>
        <w:jc w:val="both"/>
      </w:pPr>
      <w:r>
        <w:rPr>
          <w:sz w:val="20"/>
        </w:rPr>
        <w:t xml:space="preserve">(п. 1 в ред. </w:t>
      </w:r>
      <w:hyperlink w:history="0" r:id="rId7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805" w:name="P805"/>
    <w:bookmarkEnd w:id="805"/>
    <w:p>
      <w:pPr>
        <w:pStyle w:val="0"/>
        <w:spacing w:before="200" w:line-rule="auto"/>
        <w:ind w:firstLine="540"/>
        <w:jc w:val="both"/>
      </w:pPr>
      <w:r>
        <w:rPr>
          <w:sz w:val="20"/>
        </w:rPr>
        <w:t xml:space="preserve">2. Очень высокий сердечно-сосудистый риск устанавливается при наличии одного из следующих состояний:</w:t>
      </w:r>
    </w:p>
    <w:p>
      <w:pPr>
        <w:pStyle w:val="0"/>
        <w:spacing w:before="200" w:line-rule="auto"/>
        <w:ind w:firstLine="540"/>
        <w:jc w:val="both"/>
      </w:pPr>
      <w:r>
        <w:rPr>
          <w:sz w:val="20"/>
        </w:rPr>
        <w:t xml:space="preserve">документированное атеросклеротическое сердечно-сосудистое заболевание (перенесенный острый коронарный синдром, безболевая ишемия миокарда, стабильная стенокардия, коронарное шунтирование или другие операции на артериях, инсульт/транзиторная ишемическая атака);</w:t>
      </w:r>
    </w:p>
    <w:p>
      <w:pPr>
        <w:pStyle w:val="0"/>
        <w:spacing w:before="200" w:line-rule="auto"/>
        <w:ind w:firstLine="540"/>
        <w:jc w:val="both"/>
      </w:pPr>
      <w:r>
        <w:rPr>
          <w:sz w:val="20"/>
        </w:rPr>
        <w:t xml:space="preserve">атеросклеротическое поражение артерий со стенозированием 50% просвета и более;</w:t>
      </w:r>
    </w:p>
    <w:p>
      <w:pPr>
        <w:pStyle w:val="0"/>
        <w:spacing w:before="200" w:line-rule="auto"/>
        <w:ind w:firstLine="540"/>
        <w:jc w:val="both"/>
      </w:pPr>
      <w:r>
        <w:rPr>
          <w:sz w:val="20"/>
        </w:rPr>
        <w:t xml:space="preserve">сахарный диабет (далее - СД) в сочетании с поражением органов-мишеней или 3 факторами риска развития сердечно-сосудистых заболеваний (далее - ФР), а также раннего начала СД 1 типа с длительностью более 20 лет;</w:t>
      </w:r>
    </w:p>
    <w:p>
      <w:pPr>
        <w:pStyle w:val="0"/>
        <w:spacing w:before="200" w:line-rule="auto"/>
        <w:ind w:firstLine="540"/>
        <w:jc w:val="both"/>
      </w:pPr>
      <w:r>
        <w:rPr>
          <w:sz w:val="20"/>
        </w:rPr>
        <w:t xml:space="preserve">хроническая болезнь почек (далее - ХБП) со скоростью клубочковой фильтрации (далее - СКФ) менее 30 мл/мин/1,73 м</w:t>
      </w:r>
      <w:r>
        <w:rPr>
          <w:sz w:val="20"/>
          <w:vertAlign w:val="superscript"/>
        </w:rPr>
        <w:t xml:space="preserve">2</w:t>
      </w:r>
      <w:r>
        <w:rPr>
          <w:sz w:val="20"/>
        </w:rPr>
        <w:t xml:space="preserve">;</w:t>
      </w:r>
    </w:p>
    <w:p>
      <w:pPr>
        <w:pStyle w:val="0"/>
        <w:spacing w:before="200" w:line-rule="auto"/>
        <w:ind w:firstLine="540"/>
        <w:jc w:val="both"/>
      </w:pPr>
      <w:r>
        <w:rPr>
          <w:sz w:val="20"/>
        </w:rPr>
        <w:t xml:space="preserve">риск смерти от сердечно-сосудистых осложнений в течение ближайших 10 лет по шкале SCORE 10% и более;</w:t>
      </w:r>
    </w:p>
    <w:p>
      <w:pPr>
        <w:pStyle w:val="0"/>
        <w:spacing w:before="200" w:line-rule="auto"/>
        <w:ind w:firstLine="540"/>
        <w:jc w:val="both"/>
      </w:pPr>
      <w:r>
        <w:rPr>
          <w:sz w:val="20"/>
        </w:rPr>
        <w:t xml:space="preserve">семейная гиперхолестеринемия.</w:t>
      </w:r>
    </w:p>
    <w:p>
      <w:pPr>
        <w:pStyle w:val="0"/>
        <w:spacing w:before="200" w:line-rule="auto"/>
        <w:ind w:firstLine="540"/>
        <w:jc w:val="both"/>
      </w:pPr>
      <w:r>
        <w:rPr>
          <w:sz w:val="20"/>
        </w:rPr>
        <w:t xml:space="preserve">Высокий суммарный риск сердечно-сосудистых заболеваний устанавливается при сочетании двух и более состояний:</w:t>
      </w:r>
    </w:p>
    <w:p>
      <w:pPr>
        <w:pStyle w:val="0"/>
        <w:spacing w:before="200" w:line-rule="auto"/>
        <w:ind w:firstLine="540"/>
        <w:jc w:val="both"/>
      </w:pPr>
      <w:r>
        <w:rPr>
          <w:sz w:val="20"/>
        </w:rPr>
        <w:t xml:space="preserve">холестерин (далее - ХС) более 8 ммоль/л и (или) липопротеидов низкой плотности (далее - ЛПНП) более 4,9 ммоль/л;</w:t>
      </w:r>
    </w:p>
    <w:p>
      <w:pPr>
        <w:pStyle w:val="0"/>
        <w:spacing w:before="200" w:line-rule="auto"/>
        <w:ind w:firstLine="540"/>
        <w:jc w:val="both"/>
      </w:pPr>
      <w:r>
        <w:rPr>
          <w:sz w:val="20"/>
        </w:rPr>
        <w:t xml:space="preserve">артериальное давление (далее - АД) 180/110 мм ртутного столба и более;</w:t>
      </w:r>
    </w:p>
    <w:p>
      <w:pPr>
        <w:pStyle w:val="0"/>
        <w:spacing w:before="200" w:line-rule="auto"/>
        <w:ind w:firstLine="540"/>
        <w:jc w:val="both"/>
      </w:pPr>
      <w:r>
        <w:rPr>
          <w:sz w:val="20"/>
        </w:rPr>
        <w:t xml:space="preserve">семейная гиперхолестеринемия без ФР;</w:t>
      </w:r>
    </w:p>
    <w:p>
      <w:pPr>
        <w:pStyle w:val="0"/>
        <w:spacing w:before="200" w:line-rule="auto"/>
        <w:ind w:firstLine="540"/>
        <w:jc w:val="both"/>
      </w:pPr>
      <w:r>
        <w:rPr>
          <w:sz w:val="20"/>
        </w:rPr>
        <w:t xml:space="preserve">СД без поражения органов-мишеней, СД длительностью 10 лет и более или с ФР;</w:t>
      </w:r>
    </w:p>
    <w:p>
      <w:pPr>
        <w:pStyle w:val="0"/>
        <w:spacing w:before="200" w:line-rule="auto"/>
        <w:ind w:firstLine="540"/>
        <w:jc w:val="both"/>
      </w:pPr>
      <w:r>
        <w:rPr>
          <w:sz w:val="20"/>
        </w:rPr>
        <w:t xml:space="preserve">ХБП с СКФ 30 - 59 мл/мин/1,73 м</w:t>
      </w:r>
      <w:r>
        <w:rPr>
          <w:sz w:val="20"/>
          <w:vertAlign w:val="superscript"/>
        </w:rPr>
        <w:t xml:space="preserve">2</w:t>
      </w:r>
      <w:r>
        <w:rPr>
          <w:sz w:val="20"/>
        </w:rPr>
        <w:t xml:space="preserve">;</w:t>
      </w:r>
    </w:p>
    <w:p>
      <w:pPr>
        <w:pStyle w:val="0"/>
        <w:spacing w:before="200" w:line-rule="auto"/>
        <w:ind w:firstLine="540"/>
        <w:jc w:val="both"/>
      </w:pPr>
      <w:r>
        <w:rPr>
          <w:sz w:val="20"/>
        </w:rPr>
        <w:t xml:space="preserve">риск смерти от сердечно-сосудистых осложнений в течение ближайших 10 лет по шкале SCORE равно и более 5% и менее 10%;</w:t>
      </w:r>
    </w:p>
    <w:p>
      <w:pPr>
        <w:pStyle w:val="0"/>
        <w:spacing w:before="200" w:line-rule="auto"/>
        <w:ind w:firstLine="540"/>
        <w:jc w:val="both"/>
      </w:pPr>
      <w:r>
        <w:rPr>
          <w:sz w:val="20"/>
        </w:rPr>
        <w:t xml:space="preserve">гемодинамически незначимый атеросклероз некоронарных артерий (стеноз(ы) более 25 - 49%).</w:t>
      </w:r>
    </w:p>
    <w:p>
      <w:pPr>
        <w:pStyle w:val="0"/>
        <w:jc w:val="both"/>
      </w:pPr>
      <w:r>
        <w:rPr>
          <w:sz w:val="20"/>
        </w:rPr>
        <w:t xml:space="preserve">(п. 2 в ред. </w:t>
      </w:r>
      <w:hyperlink w:history="0" r:id="rId7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3. Кандидаты на получение медицинского заключения 1 класса с высоким и очень высоким суммарным сердечно-сосудистым риском должны быть проконсультированы врачом-кардиологом, имеющим подготовку по авиационной и космической медицине, и/или врачом-кардиологом ЦВЛЭК ГА (далее - кардиологическое обследование).</w:t>
      </w:r>
    </w:p>
    <w:p>
      <w:pPr>
        <w:pStyle w:val="0"/>
        <w:jc w:val="both"/>
      </w:pPr>
      <w:r>
        <w:rPr>
          <w:sz w:val="20"/>
        </w:rPr>
      </w:r>
    </w:p>
    <w:p>
      <w:pPr>
        <w:pStyle w:val="2"/>
        <w:outlineLvl w:val="3"/>
        <w:jc w:val="center"/>
      </w:pPr>
      <w:r>
        <w:rPr>
          <w:sz w:val="20"/>
        </w:rPr>
        <w:t xml:space="preserve">Заболевания коронарных артерий</w:t>
      </w:r>
    </w:p>
    <w:p>
      <w:pPr>
        <w:pStyle w:val="0"/>
        <w:jc w:val="both"/>
      </w:pPr>
      <w:r>
        <w:rPr>
          <w:sz w:val="20"/>
        </w:rPr>
      </w:r>
    </w:p>
    <w:p>
      <w:pPr>
        <w:pStyle w:val="2"/>
        <w:outlineLvl w:val="4"/>
        <w:jc w:val="center"/>
      </w:pPr>
      <w:r>
        <w:rPr>
          <w:sz w:val="20"/>
        </w:rPr>
        <w:t xml:space="preserve">Стенокардия. Безболевая ишемия миокарда (I20)</w:t>
      </w:r>
    </w:p>
    <w:p>
      <w:pPr>
        <w:pStyle w:val="0"/>
        <w:jc w:val="both"/>
      </w:pPr>
      <w:r>
        <w:rPr>
          <w:sz w:val="20"/>
        </w:rPr>
      </w:r>
    </w:p>
    <w:p>
      <w:pPr>
        <w:pStyle w:val="0"/>
        <w:ind w:firstLine="540"/>
        <w:jc w:val="both"/>
      </w:pPr>
      <w:r>
        <w:rPr>
          <w:sz w:val="20"/>
        </w:rPr>
        <w:t xml:space="preserve">4. Кандидаты на получение медицинского заключения 1 класса при подозрении на ишемию миокарда подлежат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1 класса с установленным диагнозом стенокардии либо с выявленными безболевыми формами ишемии миокарда признаются не годными к обучению и работе.</w:t>
      </w:r>
    </w:p>
    <w:p>
      <w:pPr>
        <w:pStyle w:val="0"/>
        <w:spacing w:before="200" w:line-rule="auto"/>
        <w:ind w:firstLine="540"/>
        <w:jc w:val="both"/>
      </w:pPr>
      <w:r>
        <w:rPr>
          <w:sz w:val="20"/>
        </w:rPr>
        <w:t xml:space="preserve">5. Инфаркт миокарда, другие ишемические кардиальные события, процедуры реваскуляризации, атеросклеротическое поражение коронарных артерий (I21 - I25). С целью определения годности кандидата на получение медицинского заключения 1 класса с диагнозом, выставленным в соответствии с МКБ-10 (I20 - I25), они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7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Освидетельствование кандидатов на получение медицинского заключения 1 класса проводится не ранее чем через 12 месяцев после индексного события (острый коронарный синдром, инфаркт миокарда, процедуры реваскуляризации, при известном заболевании коронарной артерии - эндоваскулярное стентирование или шунтирование).</w:t>
      </w:r>
    </w:p>
    <w:p>
      <w:pPr>
        <w:pStyle w:val="0"/>
        <w:spacing w:before="200" w:line-rule="auto"/>
        <w:ind w:firstLine="540"/>
        <w:jc w:val="both"/>
      </w:pPr>
      <w:r>
        <w:rPr>
          <w:sz w:val="20"/>
        </w:rPr>
        <w:t xml:space="preserve">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наличии любых клинических проявлений ишемической болезни сердца, включая бессимптомную ишемию миокарда;</w:t>
      </w:r>
    </w:p>
    <w:p>
      <w:pPr>
        <w:pStyle w:val="0"/>
        <w:spacing w:before="200" w:line-rule="auto"/>
        <w:ind w:firstLine="540"/>
        <w:jc w:val="both"/>
      </w:pPr>
      <w:r>
        <w:rPr>
          <w:sz w:val="20"/>
        </w:rPr>
        <w:t xml:space="preserve">при необходимости приема медикаментозных препаратов, назначаемых для купирования симптомов ишемической болезни сердца, за исключением бета-адреноблокаторов;</w:t>
      </w:r>
    </w:p>
    <w:p>
      <w:pPr>
        <w:pStyle w:val="0"/>
        <w:spacing w:before="200" w:line-rule="auto"/>
        <w:ind w:firstLine="540"/>
        <w:jc w:val="both"/>
      </w:pPr>
      <w:r>
        <w:rPr>
          <w:sz w:val="20"/>
        </w:rPr>
        <w:t xml:space="preserve">при наличии любого нереваскуляризованного стеноза коронарных артерий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50% следующей локализаций: передняя межжелудочковая артерия, огибающая артерия, задняя межжелудочковая артерия, правая коронарная артерия;</w:t>
      </w:r>
    </w:p>
    <w:p>
      <w:pPr>
        <w:pStyle w:val="0"/>
        <w:spacing w:before="200" w:line-rule="auto"/>
        <w:ind w:firstLine="540"/>
        <w:jc w:val="both"/>
      </w:pPr>
      <w:r>
        <w:rPr>
          <w:sz w:val="20"/>
        </w:rPr>
        <w:t xml:space="preserve">при наличии любого нереваскуляризованного стеноза коронарных артерий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в стволе левой коронарной артерии или в проксимальном отделе передней нисходящей артерии;</w:t>
      </w:r>
    </w:p>
    <w:p>
      <w:pPr>
        <w:pStyle w:val="0"/>
        <w:spacing w:before="200" w:line-rule="auto"/>
        <w:ind w:firstLine="540"/>
        <w:jc w:val="both"/>
      </w:pPr>
      <w:r>
        <w:rPr>
          <w:sz w:val="20"/>
        </w:rPr>
        <w:t xml:space="preserve">при наличии желудочковой экстрасистолии 4б и 5 градации по B.Lown и M.Wolf в модификации M.Ryan, желудочковой тахикардии;</w:t>
      </w:r>
    </w:p>
    <w:p>
      <w:pPr>
        <w:pStyle w:val="0"/>
        <w:spacing w:before="200" w:line-rule="auto"/>
        <w:ind w:firstLine="540"/>
        <w:jc w:val="both"/>
      </w:pPr>
      <w:r>
        <w:rPr>
          <w:sz w:val="20"/>
        </w:rPr>
        <w:t xml:space="preserve">при невозможности достижения нагрузки, соответствующей стадии IV протокола Брюса на тредмиле или ее эквивалента;</w:t>
      </w:r>
    </w:p>
    <w:p>
      <w:pPr>
        <w:pStyle w:val="0"/>
        <w:spacing w:before="200" w:line-rule="auto"/>
        <w:ind w:firstLine="540"/>
        <w:jc w:val="both"/>
      </w:pPr>
      <w:r>
        <w:rPr>
          <w:sz w:val="20"/>
        </w:rPr>
        <w:t xml:space="preserve">при наличии одного из следующих параметров при визуализации сердца по данным эхокардиографии (далее обозначается как значимая структурная патология сердца):</w:t>
      </w:r>
    </w:p>
    <w:p>
      <w:pPr>
        <w:pStyle w:val="0"/>
        <w:spacing w:before="200" w:line-rule="auto"/>
        <w:ind w:firstLine="540"/>
        <w:jc w:val="both"/>
      </w:pPr>
      <w:r>
        <w:rPr>
          <w:sz w:val="20"/>
        </w:rPr>
        <w:t xml:space="preserve">для мужчин: толщина межжелудочковой перегородки (МЖП) и задней стенки левого желудочка (ЗСЛЖ)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1,4 см и/или масса миокарда левого желудочка (ММЛЖ)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259 г, и/или индекс ММЛЖ/площадь поверхности тела (ППТ)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132 г/м</w:t>
      </w:r>
      <w:r>
        <w:rPr>
          <w:sz w:val="20"/>
          <w:vertAlign w:val="superscript"/>
        </w:rPr>
        <w:t xml:space="preserve">2</w:t>
      </w:r>
      <w:r>
        <w:rPr>
          <w:sz w:val="20"/>
        </w:rPr>
        <w:t xml:space="preserve">; конечно-диастолический размер ЛЖ (КДР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6,4 см и/или и индекс КДР/ППТ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3,5 см/м</w:t>
      </w:r>
      <w:r>
        <w:rPr>
          <w:sz w:val="20"/>
          <w:vertAlign w:val="superscript"/>
        </w:rPr>
        <w:t xml:space="preserve">2</w:t>
      </w:r>
      <w:r>
        <w:rPr>
          <w:sz w:val="20"/>
        </w:rPr>
        <w:t xml:space="preserve">; фракция выброса ЛЖ (формула Симпсона)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54%;</w:t>
      </w:r>
    </w:p>
    <w:p>
      <w:pPr>
        <w:pStyle w:val="0"/>
        <w:spacing w:before="200" w:line-rule="auto"/>
        <w:ind w:firstLine="540"/>
        <w:jc w:val="both"/>
      </w:pPr>
      <w:r>
        <w:rPr>
          <w:sz w:val="20"/>
        </w:rPr>
        <w:t xml:space="preserve">для женщин: толщина межжелудочковой перегородки (МЖП) и задней стенки левого желудочка (ЗСЛЖ)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1,3 см и/или масса миокарда левого желудочка (ММЛЖ)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210 г, и/или индекс ММЛЖ/площадь поверхности тела (ППТ)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109 г/м</w:t>
      </w:r>
      <w:r>
        <w:rPr>
          <w:sz w:val="20"/>
          <w:vertAlign w:val="superscript"/>
        </w:rPr>
        <w:t xml:space="preserve">2</w:t>
      </w:r>
      <w:r>
        <w:rPr>
          <w:sz w:val="20"/>
        </w:rPr>
        <w:t xml:space="preserve">; конечно-диастолический размер ЛЖ (КДР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5,8 см и/или и индекс КДР/ППТ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3,5 см/м</w:t>
      </w:r>
      <w:r>
        <w:rPr>
          <w:sz w:val="20"/>
          <w:vertAlign w:val="superscript"/>
        </w:rPr>
        <w:t xml:space="preserve">2</w:t>
      </w:r>
      <w:r>
        <w:rPr>
          <w:sz w:val="20"/>
        </w:rPr>
        <w:t xml:space="preserve">; фракция выброса ЛЖ (формула Симпсона)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54%.</w:t>
      </w:r>
    </w:p>
    <w:p>
      <w:pPr>
        <w:pStyle w:val="0"/>
        <w:spacing w:before="200" w:line-rule="auto"/>
        <w:ind w:firstLine="540"/>
        <w:jc w:val="both"/>
      </w:pPr>
      <w:r>
        <w:rPr>
          <w:sz w:val="20"/>
        </w:rPr>
        <w:t xml:space="preserve">6. Выдача медицинского заключения 1 класса лицам, перенесшим индексное событие, допускается только с применением ограничений OML (многочленный экипаж) или OCL (в качестве второго пилота) в том случае, если кандидаты на получение медицинского заключения 1 класса минимизировали все корригируемые факторы сердечно-сосудистого риска (дислипидемия - уровни ХС &lt; 5 ммоль/л, ЛПНП &lt; 3 ммоль/л, артериальная гипертензия - до уровня АД &lt; 140/90 мм рт. ст., гипергликемия - до уровня гликированного гемоглобина (HbA1c) &lt; 7%, снижение функции почек - до уровня СКФ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60 мл/мин/1,73 м</w:t>
      </w:r>
      <w:r>
        <w:rPr>
          <w:sz w:val="20"/>
          <w:vertAlign w:val="superscript"/>
        </w:rPr>
        <w:t xml:space="preserve">2</w:t>
      </w:r>
      <w:r>
        <w:rPr>
          <w:sz w:val="20"/>
        </w:rPr>
        <w:t xml:space="preserve">, ожирение - снижение ИМТ &lt; 30 кг/м</w:t>
      </w:r>
      <w:r>
        <w:rPr>
          <w:sz w:val="20"/>
          <w:vertAlign w:val="superscript"/>
        </w:rPr>
        <w:t xml:space="preserve">2</w:t>
      </w:r>
      <w:r>
        <w:rPr>
          <w:sz w:val="20"/>
        </w:rPr>
        <w:t xml:space="preserve">, гиперурикемия - до уровня мочевой кислоты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360 мкмоль/л у женщин,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420 мкмоль/л у мужчин, курение - полный отказ от курения) до приемлемого уровня и проходят регулярное (минимум один раз в год) кардиологическое обследование.</w:t>
      </w:r>
    </w:p>
    <w:p>
      <w:pPr>
        <w:pStyle w:val="0"/>
        <w:jc w:val="both"/>
      </w:pPr>
      <w:r>
        <w:rPr>
          <w:sz w:val="20"/>
        </w:rPr>
        <w:t xml:space="preserve">(в ред. </w:t>
      </w:r>
      <w:hyperlink w:history="0" r:id="rId7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4"/>
        <w:jc w:val="center"/>
      </w:pPr>
      <w:r>
        <w:rPr>
          <w:sz w:val="20"/>
        </w:rPr>
        <w:t xml:space="preserve">Нарушения ритма сердца и проводимости сердца</w:t>
      </w:r>
    </w:p>
    <w:p>
      <w:pPr>
        <w:pStyle w:val="0"/>
        <w:jc w:val="both"/>
      </w:pPr>
      <w:r>
        <w:rPr>
          <w:sz w:val="20"/>
        </w:rPr>
      </w:r>
    </w:p>
    <w:p>
      <w:pPr>
        <w:pStyle w:val="0"/>
        <w:ind w:firstLine="540"/>
        <w:jc w:val="both"/>
      </w:pPr>
      <w:r>
        <w:rPr>
          <w:sz w:val="20"/>
        </w:rPr>
        <w:t xml:space="preserve">7. Наджелудочковая экстрасистолия (I49.1 - I49.2) не является основанием для вынесения решения о негодности к обучению и работе за исключением ее симптомного течения или при индукции наджелудочковыми экстрасистолами пароксизмальных наджелудочковых нарушений ритма сердца, подразумевающих вынесение решения о негодности, выявленных при проведении кардиологического обследования, в том числе суточного мониторирования ЭКГ.</w:t>
      </w:r>
    </w:p>
    <w:p>
      <w:pPr>
        <w:pStyle w:val="0"/>
        <w:jc w:val="both"/>
      </w:pPr>
      <w:r>
        <w:rPr>
          <w:sz w:val="20"/>
        </w:rPr>
      </w:r>
    </w:p>
    <w:p>
      <w:pPr>
        <w:pStyle w:val="2"/>
        <w:outlineLvl w:val="4"/>
        <w:jc w:val="center"/>
      </w:pPr>
      <w:r>
        <w:rPr>
          <w:sz w:val="20"/>
        </w:rPr>
        <w:t xml:space="preserve">Желудочковая экстрасистолия и желудочковая тахикардия</w:t>
      </w:r>
    </w:p>
    <w:p>
      <w:pPr>
        <w:pStyle w:val="2"/>
        <w:jc w:val="center"/>
      </w:pPr>
      <w:r>
        <w:rPr>
          <w:sz w:val="20"/>
        </w:rPr>
        <w:t xml:space="preserve">(I49.3, I47.0, I47.2)</w:t>
      </w:r>
    </w:p>
    <w:p>
      <w:pPr>
        <w:pStyle w:val="0"/>
        <w:jc w:val="both"/>
      </w:pPr>
      <w:r>
        <w:rPr>
          <w:sz w:val="20"/>
        </w:rPr>
      </w:r>
    </w:p>
    <w:p>
      <w:pPr>
        <w:pStyle w:val="0"/>
        <w:ind w:firstLine="540"/>
        <w:jc w:val="both"/>
      </w:pPr>
      <w:r>
        <w:rPr>
          <w:sz w:val="20"/>
        </w:rPr>
        <w:t xml:space="preserve">8. Бессимптомная желудочковая экстрасистолия 1 градации по B.Lown и M.Wolf, в модификации M.Ryan (менее 5 экстрасистол в минуту по данным ЭКГ и менее 30 экстрасистол в час при мониторировании суточной ЭКГ) не является основанием для вынесения решения о негодности и проведения кардиологического обследования.</w:t>
      </w:r>
    </w:p>
    <w:p>
      <w:pPr>
        <w:pStyle w:val="0"/>
        <w:spacing w:before="200" w:line-rule="auto"/>
        <w:ind w:firstLine="540"/>
        <w:jc w:val="both"/>
      </w:pPr>
      <w:r>
        <w:rPr>
          <w:sz w:val="20"/>
        </w:rPr>
        <w:t xml:space="preserve">9. Кандидаты на получение медицинского заключения 1 класса с желудочковыми экстрасистолами 2, 3 и 4а градаций по B.Lown и M.Wolf в модификации M.Ryan, подлежат кардиологическому обследованию.</w:t>
      </w:r>
    </w:p>
    <w:p>
      <w:pPr>
        <w:pStyle w:val="0"/>
        <w:spacing w:before="200" w:line-rule="auto"/>
        <w:ind w:firstLine="540"/>
        <w:jc w:val="both"/>
      </w:pPr>
      <w:r>
        <w:rPr>
          <w:sz w:val="20"/>
        </w:rPr>
        <w:t xml:space="preserve">10. Кандидатам на получение медицинского заключения 1 класса с эпизодами желудочковой экстрасистолии 4б и 5 градаций по B.Lown и M.Wolf в модификации M.Ryan, эпизодами желудочковой тахикардии, после подтверждения диагноза в ходе кардиологического обследования выносится решение о негодности к обучению и работе.</w:t>
      </w:r>
    </w:p>
    <w:p>
      <w:pPr>
        <w:pStyle w:val="0"/>
        <w:spacing w:before="200" w:line-rule="auto"/>
        <w:ind w:firstLine="540"/>
        <w:jc w:val="both"/>
      </w:pPr>
      <w:r>
        <w:rPr>
          <w:sz w:val="20"/>
        </w:rPr>
        <w:t xml:space="preserve">При желудочковой тахикардии возможно вынесение решения о годности кандидата на получение медицинского заключения 1 класса с вынесением официального медицинского заключения ЦВЛЭК ГА после медицинского обследования в стационарных условиях медицинской организации, находящейся в ведении уполномоченного органа.</w:t>
      </w:r>
    </w:p>
    <w:p>
      <w:pPr>
        <w:pStyle w:val="0"/>
        <w:jc w:val="both"/>
      </w:pPr>
      <w:r>
        <w:rPr>
          <w:sz w:val="20"/>
        </w:rPr>
        <w:t xml:space="preserve">(абзац введен </w:t>
      </w:r>
      <w:hyperlink w:history="0" r:id="rId7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jc w:val="both"/>
      </w:pPr>
      <w:r>
        <w:rPr>
          <w:sz w:val="20"/>
        </w:rPr>
      </w:r>
    </w:p>
    <w:p>
      <w:pPr>
        <w:pStyle w:val="2"/>
        <w:outlineLvl w:val="4"/>
        <w:jc w:val="center"/>
      </w:pPr>
      <w:r>
        <w:rPr>
          <w:sz w:val="20"/>
        </w:rPr>
        <w:t xml:space="preserve">Заболевание синоатриального узла (синдром слабости</w:t>
      </w:r>
    </w:p>
    <w:p>
      <w:pPr>
        <w:pStyle w:val="2"/>
        <w:jc w:val="center"/>
      </w:pPr>
      <w:r>
        <w:rPr>
          <w:sz w:val="20"/>
        </w:rPr>
        <w:t xml:space="preserve">синусового узла) (I49.5)</w:t>
      </w:r>
    </w:p>
    <w:p>
      <w:pPr>
        <w:pStyle w:val="0"/>
        <w:jc w:val="both"/>
      </w:pPr>
      <w:r>
        <w:rPr>
          <w:sz w:val="20"/>
        </w:rPr>
      </w:r>
    </w:p>
    <w:p>
      <w:pPr>
        <w:pStyle w:val="0"/>
        <w:ind w:firstLine="540"/>
        <w:jc w:val="both"/>
      </w:pPr>
      <w:r>
        <w:rPr>
          <w:sz w:val="20"/>
        </w:rPr>
        <w:t xml:space="preserve">11. Кандидаты на получение медицинского заключения 1 класса с выявленными проявлениями патологии синоатриального узла (синусовые паузы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2,0 сек., синусовая брадикардия в покое днем с ЧСС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40 уд/мин, ночью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уд/мин, невозможность достижения 80% субмаксимальной ЧСС, рассчитанной по формуле 220 - возраст) подлежат кардиологическому обследованию.</w:t>
      </w:r>
    </w:p>
    <w:p>
      <w:pPr>
        <w:pStyle w:val="0"/>
        <w:spacing w:before="200" w:line-rule="auto"/>
        <w:ind w:firstLine="540"/>
        <w:jc w:val="both"/>
      </w:pPr>
      <w:r>
        <w:rPr>
          <w:sz w:val="20"/>
        </w:rPr>
        <w:t xml:space="preserve">Медицинское заключение 1 класса не выдается:</w:t>
      </w:r>
    </w:p>
    <w:p>
      <w:pPr>
        <w:pStyle w:val="0"/>
        <w:spacing w:before="200" w:line-rule="auto"/>
        <w:ind w:firstLine="540"/>
        <w:jc w:val="both"/>
      </w:pPr>
      <w:r>
        <w:rPr>
          <w:sz w:val="20"/>
        </w:rPr>
        <w:t xml:space="preserve">при наличии синусовых пауз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сек;</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12. Не являются основаниями для вынесения решения о негодности к обучению и работе после кардиологического обследования: бессимптоматическая синусовая брадикардия и наличие бессимптомных синусовых пауз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сек. при отсутствии значимой структурной патологии сердца и отсутствии клинических проявлений, выявленных при проведении кардиологического обследования, допускается выдача медицинского заключения с применением ограничений OML или OCL.</w:t>
      </w:r>
    </w:p>
    <w:p>
      <w:pPr>
        <w:pStyle w:val="0"/>
        <w:jc w:val="both"/>
      </w:pPr>
      <w:r>
        <w:rPr>
          <w:sz w:val="20"/>
        </w:rPr>
      </w:r>
    </w:p>
    <w:p>
      <w:pPr>
        <w:pStyle w:val="2"/>
        <w:outlineLvl w:val="4"/>
        <w:jc w:val="center"/>
      </w:pPr>
      <w:r>
        <w:rPr>
          <w:sz w:val="20"/>
        </w:rPr>
        <w:t xml:space="preserve">Предсердная тахиаритмия (I47.1)</w:t>
      </w:r>
    </w:p>
    <w:p>
      <w:pPr>
        <w:pStyle w:val="0"/>
        <w:jc w:val="both"/>
      </w:pPr>
      <w:r>
        <w:rPr>
          <w:sz w:val="20"/>
        </w:rPr>
      </w:r>
    </w:p>
    <w:p>
      <w:pPr>
        <w:pStyle w:val="0"/>
        <w:ind w:firstLine="540"/>
        <w:jc w:val="both"/>
      </w:pPr>
      <w:r>
        <w:rPr>
          <w:sz w:val="20"/>
        </w:rPr>
        <w:t xml:space="preserve">13. Кандидаты на получение медицинского заключения 1 класса с выявленными эпизодами предсердной тахиаритмии подлежат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1 класса при предсердной тахикардии с ЧСС 150 уд/мин и более или при продолжительности пароксизма 30 секунд и более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(абзац введен </w:t>
      </w:r>
      <w:hyperlink w:history="0" r:id="rId7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14. При выявлении у кандидатов на получение медицинского заключения 1 класса эпизодов пароксизмальной синусовой или предсердной (фокусной) тахиаритмии медицинское заключение 1 класса не выдается:</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при продолжительности пароксизмов более 30 секунд и частоте сердечных сокращений (ЧСС) более 150 уд/мин.</w:t>
      </w:r>
    </w:p>
    <w:p>
      <w:pPr>
        <w:pStyle w:val="0"/>
        <w:jc w:val="both"/>
      </w:pPr>
      <w:r>
        <w:rPr>
          <w:sz w:val="20"/>
        </w:rPr>
      </w:r>
    </w:p>
    <w:p>
      <w:pPr>
        <w:pStyle w:val="2"/>
        <w:outlineLvl w:val="4"/>
        <w:jc w:val="center"/>
      </w:pPr>
      <w:r>
        <w:rPr>
          <w:sz w:val="20"/>
        </w:rPr>
        <w:t xml:space="preserve">Фибрилляция предсердия и трепетание предсердий (I48)</w:t>
      </w:r>
    </w:p>
    <w:p>
      <w:pPr>
        <w:pStyle w:val="0"/>
        <w:jc w:val="both"/>
      </w:pPr>
      <w:r>
        <w:rPr>
          <w:sz w:val="20"/>
        </w:rPr>
      </w:r>
    </w:p>
    <w:p>
      <w:pPr>
        <w:pStyle w:val="0"/>
        <w:ind w:firstLine="540"/>
        <w:jc w:val="both"/>
      </w:pPr>
      <w:r>
        <w:rPr>
          <w:sz w:val="20"/>
        </w:rPr>
        <w:t xml:space="preserve">15. При выявлении у кандидатов на получение медицинского заключения 1 класса во время освидетельствования или в анамнезе эпизодов фибрилляции предсердий/трепетания предсердий медицинское заключение 1 класса не выдается:</w:t>
      </w:r>
    </w:p>
    <w:p>
      <w:pPr>
        <w:pStyle w:val="0"/>
        <w:spacing w:before="200" w:line-rule="auto"/>
        <w:ind w:firstLine="540"/>
        <w:jc w:val="both"/>
      </w:pPr>
      <w:r>
        <w:rPr>
          <w:sz w:val="20"/>
        </w:rPr>
        <w:t xml:space="preserve">при значимой структурной патологии сердца;</w:t>
      </w:r>
    </w:p>
    <w:p>
      <w:pPr>
        <w:pStyle w:val="0"/>
        <w:spacing w:before="200" w:line-rule="auto"/>
        <w:ind w:firstLine="540"/>
        <w:jc w:val="both"/>
      </w:pPr>
      <w:r>
        <w:rPr>
          <w:sz w:val="20"/>
        </w:rPr>
        <w:t xml:space="preserve">при наличии транзиторной ишемической атаки и/или ишемического инсульта в анамнезе;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при наличии фибрилляции предсердий/трепетания предсердий при трехкратном суточном мониторировании ЭКГ, выполненном с регулярной периодичностью в течение 3 месяцев.</w:t>
      </w:r>
    </w:p>
    <w:p>
      <w:pPr>
        <w:pStyle w:val="0"/>
        <w:spacing w:before="200" w:line-rule="auto"/>
        <w:ind w:firstLine="540"/>
        <w:jc w:val="both"/>
      </w:pPr>
      <w:r>
        <w:rPr>
          <w:sz w:val="20"/>
        </w:rPr>
        <w:t xml:space="preserve">16. Выдача медицинского заключения допускается только с применением ограничений OML или OCL в том случае, если кандидат на получение медицинского заключения 1 класса минимизировал все корригируемые факторы сердечно-сосудистого риска до приемлемого уровня и регулярно (минимум один раз в год) проходит кардиологическое обследование, а также в случае потребности регулярно получает разрешенную медикаментозную терапию.</w:t>
      </w:r>
    </w:p>
    <w:p>
      <w:pPr>
        <w:pStyle w:val="0"/>
        <w:spacing w:before="200" w:line-rule="auto"/>
        <w:ind w:firstLine="540"/>
        <w:jc w:val="both"/>
      </w:pPr>
      <w:r>
        <w:rPr>
          <w:sz w:val="20"/>
        </w:rPr>
        <w:t xml:space="preserve">При выявлении фибрилляции предсердий и трепетании предсердий кандидаты на получение медицинского заключения 1 класса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(абзац введен </w:t>
      </w:r>
      <w:hyperlink w:history="0" r:id="rId7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17. При проведении эндоваскулярного хирургического лечения фибрилляции предсердий/трепетания предсердий заключение 1 класса может быть выдано не ранее чем через 6 месяцев при отмене антиаритмической и антикоагулянтнои терапии после медицинского обследования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7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18. Необходимо соблюдение следующих условий для выдачи медицинского заключения 1 класса:</w:t>
      </w:r>
    </w:p>
    <w:p>
      <w:pPr>
        <w:pStyle w:val="0"/>
        <w:spacing w:before="200" w:line-rule="auto"/>
        <w:ind w:firstLine="540"/>
        <w:jc w:val="both"/>
      </w:pPr>
      <w:r>
        <w:rPr>
          <w:sz w:val="20"/>
        </w:rPr>
        <w:t xml:space="preserve">постоянное сохранение синусового ритма со средней частотой менее 90 уд/мин в дневное время;</w:t>
      </w:r>
    </w:p>
    <w:p>
      <w:pPr>
        <w:pStyle w:val="0"/>
        <w:spacing w:before="200" w:line-rule="auto"/>
        <w:ind w:firstLine="540"/>
        <w:jc w:val="both"/>
      </w:pPr>
      <w:r>
        <w:rPr>
          <w:sz w:val="20"/>
        </w:rPr>
        <w:t xml:space="preserve">нормальные значения гормонов щитовидной железы (уровень тиреотропного гормона (ТТГ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0,4 мЕд/л 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4,0 мЕд/л) и печеночных ферментов в биохимическом анализе крови (аланинаминотрансфераза (АЛТ)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40 Ед/л, аспартатаминотрансфераза (АСТ)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40 Ед/л;</w:t>
      </w:r>
    </w:p>
    <w:p>
      <w:pPr>
        <w:pStyle w:val="0"/>
        <w:spacing w:before="200" w:line-rule="auto"/>
        <w:ind w:firstLine="540"/>
        <w:jc w:val="both"/>
      </w:pPr>
      <w:r>
        <w:rPr>
          <w:sz w:val="20"/>
        </w:rPr>
        <w:t xml:space="preserve">нормальное значение среднего объема эритроцитов (MCV) 80 - 100 фл.;</w:t>
      </w:r>
    </w:p>
    <w:p>
      <w:pPr>
        <w:pStyle w:val="0"/>
        <w:spacing w:before="200" w:line-rule="auto"/>
        <w:ind w:firstLine="540"/>
        <w:jc w:val="both"/>
      </w:pPr>
      <w:r>
        <w:rPr>
          <w:sz w:val="20"/>
        </w:rPr>
        <w:t xml:space="preserve">отсутствие значимой структурной патологии сердца, внутренний диаметр левого предсердия (ВД ЛП) не превышает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4,5 см и индекс ВД ЛП/ППТ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2,5 см/м</w:t>
      </w:r>
      <w:r>
        <w:rPr>
          <w:sz w:val="20"/>
          <w:vertAlign w:val="superscript"/>
        </w:rPr>
        <w:t xml:space="preserve">2</w:t>
      </w:r>
      <w:r>
        <w:rPr>
          <w:sz w:val="20"/>
        </w:rPr>
        <w:t xml:space="preserve">;</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фибрилляции предсердий/трепетания предсердий при трехкратном суточном мониторировании ЭКГ, выполненном с регулярной периодичностью в течение 3 месяцев при условии отмены антиаритмической и антикоагулянтнои терапии;</w:t>
      </w:r>
    </w:p>
    <w:p>
      <w:pPr>
        <w:pStyle w:val="0"/>
        <w:spacing w:before="200" w:line-rule="auto"/>
        <w:ind w:firstLine="540"/>
        <w:jc w:val="both"/>
      </w:pPr>
      <w:r>
        <w:rPr>
          <w:sz w:val="20"/>
        </w:rPr>
        <w:t xml:space="preserve">при трепетании предсердий при электрофизиологическом исследовании определяется двунаправленная блокада кавотрикуспидального перешейка.</w:t>
      </w:r>
    </w:p>
    <w:p>
      <w:pPr>
        <w:pStyle w:val="0"/>
        <w:jc w:val="both"/>
      </w:pPr>
      <w:r>
        <w:rPr>
          <w:sz w:val="20"/>
        </w:rPr>
      </w:r>
    </w:p>
    <w:p>
      <w:pPr>
        <w:pStyle w:val="2"/>
        <w:outlineLvl w:val="4"/>
        <w:jc w:val="center"/>
      </w:pPr>
      <w:r>
        <w:rPr>
          <w:sz w:val="20"/>
        </w:rPr>
        <w:t xml:space="preserve">Атриовентрикулярная реципрокная узловая тахикардия (I47.1)</w:t>
      </w:r>
    </w:p>
    <w:p>
      <w:pPr>
        <w:pStyle w:val="0"/>
        <w:jc w:val="both"/>
      </w:pPr>
      <w:r>
        <w:rPr>
          <w:sz w:val="20"/>
        </w:rPr>
      </w:r>
    </w:p>
    <w:p>
      <w:pPr>
        <w:pStyle w:val="0"/>
        <w:ind w:firstLine="540"/>
        <w:jc w:val="both"/>
      </w:pPr>
      <w:r>
        <w:rPr>
          <w:sz w:val="20"/>
        </w:rPr>
        <w:t xml:space="preserve">19. Кандидаты на получение медицинского заключения 1 класса с атриовентрикулярной реципрокной узловой тахикардией подлежат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1 класса при атриовентрикулярной реципрокной узловой тахикардии с ЧСС 150 уд/мин и более или при продолжительности пароксизма 30 секунд и более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(абзац введен </w:t>
      </w:r>
      <w:hyperlink w:history="0" r:id="rId8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20. При выявлении у кандидатов на получение медицинского заключения 1 класса во время освидетельствования или в анамнезе эпизодов атриовентрикулярной реципрокной узловой тахикардии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отсутствии проведения процедуры модификации медленного пути;</w:t>
      </w:r>
    </w:p>
    <w:p>
      <w:pPr>
        <w:pStyle w:val="0"/>
        <w:spacing w:before="200" w:line-rule="auto"/>
        <w:ind w:firstLine="540"/>
        <w:jc w:val="both"/>
      </w:pPr>
      <w:r>
        <w:rPr>
          <w:sz w:val="20"/>
        </w:rPr>
        <w:t xml:space="preserve">при наличии эпизода атриовентрикулярной реципрокной тахикардии при трехкратном холтеровском мониторировании ЭКГ, выполненном с регулярной периодичностью в течение 3 месяцев, прошедших с момента проведения процедуры модификации медленного пути;</w:t>
      </w:r>
    </w:p>
    <w:p>
      <w:pPr>
        <w:pStyle w:val="0"/>
        <w:spacing w:before="200" w:line-rule="auto"/>
        <w:ind w:firstLine="540"/>
        <w:jc w:val="both"/>
      </w:pPr>
      <w:r>
        <w:rPr>
          <w:sz w:val="20"/>
        </w:rPr>
        <w:t xml:space="preserve">при индуцировании нарушения ритма при электрофизиологическом исследовании;</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21. Выдача медицинского заключения допускается только с применением ограничений OML или OCL в том случае, если кандидат на получение медицинского заключения 1 класса минимизировал все корригируемые факторы сердечно-сосудистого риска до приемлемого уровня и регулярно (минимум один раз в год) проходит кардиологическое обследование, а также в случае потребности получает медикаментозную терапию.</w:t>
      </w:r>
    </w:p>
    <w:p>
      <w:pPr>
        <w:pStyle w:val="0"/>
        <w:jc w:val="both"/>
      </w:pPr>
      <w:r>
        <w:rPr>
          <w:sz w:val="20"/>
        </w:rPr>
      </w:r>
    </w:p>
    <w:p>
      <w:pPr>
        <w:pStyle w:val="2"/>
        <w:outlineLvl w:val="4"/>
        <w:jc w:val="center"/>
      </w:pPr>
      <w:r>
        <w:rPr>
          <w:sz w:val="20"/>
        </w:rPr>
        <w:t xml:space="preserve">Атриовентрикулярная реципрокная тахикардия (I45.6)</w:t>
      </w:r>
    </w:p>
    <w:p>
      <w:pPr>
        <w:pStyle w:val="0"/>
        <w:jc w:val="both"/>
      </w:pPr>
      <w:r>
        <w:rPr>
          <w:sz w:val="20"/>
        </w:rPr>
      </w:r>
    </w:p>
    <w:p>
      <w:pPr>
        <w:pStyle w:val="0"/>
        <w:ind w:firstLine="540"/>
        <w:jc w:val="both"/>
      </w:pPr>
      <w:r>
        <w:rPr>
          <w:sz w:val="20"/>
        </w:rPr>
        <w:t xml:space="preserve">22. Кандидаты на получение медицинского заключения 1 класса с феноменом Вольфа-Паркинсона-Уайта (WPW) и с атриовентрикулярной реципрокной тахикардией с дополнительными путями проведения подлежат кардиологическому обследованию.</w:t>
      </w:r>
    </w:p>
    <w:p>
      <w:pPr>
        <w:pStyle w:val="0"/>
        <w:spacing w:before="200" w:line-rule="auto"/>
        <w:ind w:firstLine="540"/>
        <w:jc w:val="both"/>
      </w:pPr>
      <w:r>
        <w:rPr>
          <w:sz w:val="20"/>
        </w:rPr>
        <w:t xml:space="preserve">23. При выявлении у кандидатов на получение медицинского заключения 1 класса во время освидетельствования или в анамнезе феномена WPW и/или эпизодов атриовентрикулярной реципрокной тахикардии с дополнительными путями проведения медицинское заключение 1 класса не выдается:</w:t>
      </w:r>
    </w:p>
    <w:p>
      <w:pPr>
        <w:pStyle w:val="0"/>
        <w:spacing w:before="200" w:line-rule="auto"/>
        <w:ind w:firstLine="540"/>
        <w:jc w:val="both"/>
      </w:pPr>
      <w:r>
        <w:rPr>
          <w:sz w:val="20"/>
        </w:rPr>
        <w:t xml:space="preserve">при первичном освидетельствовании (за исключением случаев, когда у кандидата на получение медицинского заключения 1 класса с феноменом WPW при проведении электрофизиологического исследования доказан показатель эффективного рефрактерного периода дополнительных проводящих путей (ЭРП ДПП) &gt; 300 мс или кандидату на получение медицинского заключения 1 класса проведена процедура эндоваскулярного хирургического лечения по поводу наличия дополнительных путей проведения);</w:t>
      </w:r>
    </w:p>
    <w:p>
      <w:pPr>
        <w:pStyle w:val="0"/>
        <w:spacing w:before="200" w:line-rule="auto"/>
        <w:ind w:firstLine="540"/>
        <w:jc w:val="both"/>
      </w:pPr>
      <w:r>
        <w:rPr>
          <w:sz w:val="20"/>
        </w:rPr>
        <w:t xml:space="preserve">при наличии признаков проведения по дополнительным проводящим путям и эпизода атриовентрикулярной реципрокной тахикардии при трехкратном холтеровском мониторировании ЭКГ, выполненном с регулярной периодичностью в течение 3 месяцев, прошедших с момента проведения процедуры эндоваскулярного хирургического лечения по поводу добавочного проводящего пути;</w:t>
      </w:r>
    </w:p>
    <w:p>
      <w:pPr>
        <w:pStyle w:val="0"/>
        <w:spacing w:before="200" w:line-rule="auto"/>
        <w:ind w:firstLine="540"/>
        <w:jc w:val="both"/>
      </w:pPr>
      <w:r>
        <w:rPr>
          <w:sz w:val="20"/>
        </w:rPr>
        <w:t xml:space="preserve">при индуцировании при электрофизиологическом исследовании эпизода атриовентрикулярной реципрокной тахикардии или при определении показателя эффективного рефрактерного периода дополнительных проводящих путей (ЭРП ДПП) &lt; 300 мс;</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24. Выдача медицинского заключения допускается только с применением ограничений OML или OCL в следующих случаях:</w:t>
      </w:r>
    </w:p>
    <w:p>
      <w:pPr>
        <w:pStyle w:val="0"/>
        <w:spacing w:before="200" w:line-rule="auto"/>
        <w:ind w:firstLine="540"/>
        <w:jc w:val="both"/>
      </w:pPr>
      <w:r>
        <w:rPr>
          <w:sz w:val="20"/>
        </w:rPr>
        <w:t xml:space="preserve">если была проведена процедура эндоваскулярного хирургического лечения по поводу добавочного проводящего пути, эффективность которой подтверждена результатами теста с аденозином или электрофизиологическим исследованием или при проведении электрофизиологического исследования доказан показатель эффективного рефрактерного периода дополнительных проводящих путей (ЭРП ДПП) &gt; 300 мс;</w:t>
      </w:r>
    </w:p>
    <w:p>
      <w:pPr>
        <w:pStyle w:val="0"/>
        <w:spacing w:before="200" w:line-rule="auto"/>
        <w:ind w:firstLine="540"/>
        <w:jc w:val="both"/>
      </w:pPr>
      <w:r>
        <w:rPr>
          <w:sz w:val="20"/>
        </w:rPr>
        <w:t xml:space="preserve">если при трехкратном холтеровском мониторировании ЭКГ, выполненном с регулярной периодичностью в течение 3 месяцев, отсутствуют признаки проведения по дополнительным проводящим путям и эпизоды атриовентрикулярной реципрокной тахикардии;</w:t>
      </w:r>
    </w:p>
    <w:p>
      <w:pPr>
        <w:pStyle w:val="0"/>
        <w:spacing w:before="200" w:line-rule="auto"/>
        <w:ind w:firstLine="540"/>
        <w:jc w:val="both"/>
      </w:pPr>
      <w:r>
        <w:rPr>
          <w:sz w:val="20"/>
        </w:rPr>
        <w:t xml:space="preserve">если регулярно (не реже одного раза в год) проводится кардиологическое обследование.</w:t>
      </w:r>
    </w:p>
    <w:p>
      <w:pPr>
        <w:pStyle w:val="0"/>
        <w:jc w:val="both"/>
      </w:pPr>
      <w:r>
        <w:rPr>
          <w:sz w:val="20"/>
        </w:rPr>
      </w:r>
    </w:p>
    <w:p>
      <w:pPr>
        <w:pStyle w:val="2"/>
        <w:outlineLvl w:val="4"/>
        <w:jc w:val="center"/>
      </w:pPr>
      <w:r>
        <w:rPr>
          <w:sz w:val="20"/>
        </w:rPr>
        <w:t xml:space="preserve">Нарушение атривентрикулярной проводимости (I44.0 - I44.3)</w:t>
      </w:r>
    </w:p>
    <w:p>
      <w:pPr>
        <w:pStyle w:val="0"/>
        <w:jc w:val="both"/>
      </w:pPr>
      <w:r>
        <w:rPr>
          <w:sz w:val="20"/>
        </w:rPr>
      </w:r>
    </w:p>
    <w:p>
      <w:pPr>
        <w:pStyle w:val="0"/>
        <w:ind w:firstLine="540"/>
        <w:jc w:val="both"/>
      </w:pPr>
      <w:r>
        <w:rPr>
          <w:sz w:val="20"/>
        </w:rPr>
        <w:t xml:space="preserve">25. Выявление атриовентрикулярной блокады I степени не является основанием для дисквалификации, за исключением ее симптомного течения.</w:t>
      </w:r>
    </w:p>
    <w:p>
      <w:pPr>
        <w:pStyle w:val="0"/>
        <w:spacing w:before="200" w:line-rule="auto"/>
        <w:ind w:firstLine="540"/>
        <w:jc w:val="both"/>
      </w:pPr>
      <w:r>
        <w:rPr>
          <w:sz w:val="20"/>
        </w:rPr>
        <w:t xml:space="preserve">26. Кандидаты на получение медицинского заключения 1 класса с выявленным нарушением атриовентрикулярной проводимости II и III степени подлежат кардиологическому обследованию.</w:t>
      </w:r>
    </w:p>
    <w:p>
      <w:pPr>
        <w:pStyle w:val="0"/>
        <w:spacing w:before="200" w:line-rule="auto"/>
        <w:ind w:firstLine="540"/>
        <w:jc w:val="both"/>
      </w:pPr>
      <w:r>
        <w:rPr>
          <w:sz w:val="20"/>
        </w:rPr>
        <w:t xml:space="preserve">27. Медицинское заключение 1 класса не выдается:</w:t>
      </w:r>
    </w:p>
    <w:p>
      <w:pPr>
        <w:pStyle w:val="0"/>
        <w:spacing w:before="200" w:line-rule="auto"/>
        <w:ind w:firstLine="540"/>
        <w:jc w:val="both"/>
      </w:pPr>
      <w:r>
        <w:rPr>
          <w:sz w:val="20"/>
        </w:rPr>
        <w:t xml:space="preserve">при атриовентрикулярной блокаде II степени типа Мобитц II с проведением 2:1 или типа Мобитц II в сочетании с нарушением проведения по ножкам пучка Гиса или паузами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 сек;</w:t>
      </w:r>
    </w:p>
    <w:p>
      <w:pPr>
        <w:pStyle w:val="0"/>
        <w:spacing w:before="200" w:line-rule="auto"/>
        <w:ind w:firstLine="540"/>
        <w:jc w:val="both"/>
      </w:pPr>
      <w:r>
        <w:rPr>
          <w:sz w:val="20"/>
        </w:rPr>
        <w:t xml:space="preserve">при атриовентрикулярной блокаде III степени;</w:t>
      </w:r>
    </w:p>
    <w:p>
      <w:pPr>
        <w:pStyle w:val="0"/>
        <w:spacing w:before="200" w:line-rule="auto"/>
        <w:ind w:firstLine="540"/>
        <w:jc w:val="both"/>
      </w:pPr>
      <w:r>
        <w:rPr>
          <w:sz w:val="20"/>
        </w:rPr>
        <w:t xml:space="preserve">при установленном эндокардиальном кардиостимуляторе;</w:t>
      </w:r>
    </w:p>
    <w:p>
      <w:pPr>
        <w:pStyle w:val="0"/>
        <w:spacing w:before="200" w:line-rule="auto"/>
        <w:ind w:firstLine="540"/>
        <w:jc w:val="both"/>
      </w:pPr>
      <w:r>
        <w:rPr>
          <w:sz w:val="20"/>
        </w:rPr>
        <w:t xml:space="preserve">при наличии жалоб и/или проявлений клинических симптомов заболевания.</w:t>
      </w:r>
    </w:p>
    <w:p>
      <w:pPr>
        <w:pStyle w:val="0"/>
        <w:spacing w:before="200" w:line-rule="auto"/>
        <w:ind w:firstLine="540"/>
        <w:jc w:val="both"/>
      </w:pPr>
      <w:r>
        <w:rPr>
          <w:sz w:val="20"/>
        </w:rPr>
        <w:t xml:space="preserve">28. Наличие атриовентрикулярной блокады II степени типа Мобитц I и типа Мобитц II с паузами &lt; 2 сек. при отсутствии значимой структурной патологии сердца и без клинических проявлений не является основанием для отказа в выдаче медицинского заключения 1 класса.</w:t>
      </w:r>
    </w:p>
    <w:p>
      <w:pPr>
        <w:pStyle w:val="0"/>
        <w:spacing w:before="200" w:line-rule="auto"/>
        <w:ind w:firstLine="540"/>
        <w:jc w:val="both"/>
      </w:pPr>
      <w:r>
        <w:rPr>
          <w:sz w:val="20"/>
        </w:rPr>
        <w:t xml:space="preserve">29. В остальных случаях выдача медицинского заключения допускается только с применением ограничений OML или OCL в том случае, если кандидат на получение медицинского заключения 1 класса минимизировал все корригируемые факторы сердечно-сосудистого риска до приемлемого уровня и регулярно (минимум 1 раз в год) проходит кардиологическое обследование.</w:t>
      </w:r>
    </w:p>
    <w:p>
      <w:pPr>
        <w:pStyle w:val="0"/>
        <w:jc w:val="both"/>
      </w:pPr>
      <w:r>
        <w:rPr>
          <w:sz w:val="20"/>
        </w:rPr>
      </w:r>
    </w:p>
    <w:p>
      <w:pPr>
        <w:pStyle w:val="2"/>
        <w:outlineLvl w:val="4"/>
        <w:jc w:val="center"/>
      </w:pPr>
      <w:r>
        <w:rPr>
          <w:sz w:val="20"/>
        </w:rPr>
        <w:t xml:space="preserve">Нарушение внутрижелудочковой проводимости (I44.4 - I44.7)</w:t>
      </w:r>
    </w:p>
    <w:p>
      <w:pPr>
        <w:pStyle w:val="0"/>
        <w:jc w:val="both"/>
      </w:pPr>
      <w:r>
        <w:rPr>
          <w:sz w:val="20"/>
        </w:rPr>
      </w:r>
    </w:p>
    <w:p>
      <w:pPr>
        <w:pStyle w:val="0"/>
        <w:ind w:firstLine="540"/>
        <w:jc w:val="both"/>
      </w:pPr>
      <w:r>
        <w:rPr>
          <w:sz w:val="20"/>
        </w:rPr>
        <w:t xml:space="preserve">30. Кандидаты на получение медицинского заключения 1 класса с выявленным нарушением внутрижелудочковой проводимости подлежат кардиологическому обследованию.</w:t>
      </w:r>
    </w:p>
    <w:p>
      <w:pPr>
        <w:pStyle w:val="0"/>
        <w:spacing w:before="200" w:line-rule="auto"/>
        <w:ind w:firstLine="540"/>
        <w:jc w:val="both"/>
      </w:pPr>
      <w:r>
        <w:rPr>
          <w:sz w:val="20"/>
        </w:rPr>
        <w:t xml:space="preserve">31. Выявленная неполная блокада правой ножки пучка Гиса, а также неполная блокада левой ножки пучка Гиса не являются основаниями для отказа в выдаче медицинского заключения при отсутствии значимой структурной патологии сердца.</w:t>
      </w:r>
    </w:p>
    <w:p>
      <w:pPr>
        <w:pStyle w:val="0"/>
        <w:spacing w:before="200" w:line-rule="auto"/>
        <w:ind w:firstLine="540"/>
        <w:jc w:val="both"/>
      </w:pPr>
      <w:r>
        <w:rPr>
          <w:sz w:val="20"/>
        </w:rPr>
        <w:t xml:space="preserve">32. При выявлении у кандидатов на получение медицинского заключения 1 класса полной блокады правой ножки пучка Гиса медицинское заключение 1 класса выдается при отсутствии:</w:t>
      </w:r>
    </w:p>
    <w:p>
      <w:pPr>
        <w:pStyle w:val="0"/>
        <w:spacing w:before="200" w:line-rule="auto"/>
        <w:ind w:firstLine="540"/>
        <w:jc w:val="both"/>
      </w:pPr>
      <w:r>
        <w:rPr>
          <w:sz w:val="20"/>
        </w:rPr>
        <w:t xml:space="preserve">значимой структурной патологии сердца и врожденных пороков сердца;</w:t>
      </w:r>
    </w:p>
    <w:p>
      <w:pPr>
        <w:pStyle w:val="0"/>
        <w:spacing w:before="200" w:line-rule="auto"/>
        <w:ind w:firstLine="540"/>
        <w:jc w:val="both"/>
      </w:pPr>
      <w:r>
        <w:rPr>
          <w:sz w:val="20"/>
        </w:rPr>
        <w:t xml:space="preserve">отрицательной пробы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на суточном мониторировании ЭКГ нарушений ритма и проводимости, подразумевающих вынесение решения о негодности;</w:t>
      </w:r>
    </w:p>
    <w:p>
      <w:pPr>
        <w:pStyle w:val="0"/>
        <w:spacing w:before="200" w:line-rule="auto"/>
        <w:ind w:firstLine="540"/>
        <w:jc w:val="both"/>
      </w:pPr>
      <w:r>
        <w:rPr>
          <w:sz w:val="20"/>
        </w:rPr>
        <w:t xml:space="preserve">жалоб и/или проявлений клинических симптомов заболевания.</w:t>
      </w:r>
    </w:p>
    <w:p>
      <w:pPr>
        <w:pStyle w:val="0"/>
        <w:spacing w:before="200" w:line-rule="auto"/>
        <w:ind w:firstLine="540"/>
        <w:jc w:val="both"/>
      </w:pPr>
      <w:r>
        <w:rPr>
          <w:sz w:val="20"/>
        </w:rPr>
        <w:t xml:space="preserve">33. Кандидатам на получение медицинского заключения 1 класса в возрасте до 40 лет медицинское заключение выдается без ограничений. Старше 40 лет - только с применением ограничений OML или OCL, которые могут быть сняты через 12 месяцев после повторного кардиологического обследования.</w:t>
      </w:r>
    </w:p>
    <w:p>
      <w:pPr>
        <w:pStyle w:val="0"/>
        <w:spacing w:before="200" w:line-rule="auto"/>
        <w:ind w:firstLine="540"/>
        <w:jc w:val="both"/>
      </w:pPr>
      <w:r>
        <w:rPr>
          <w:sz w:val="20"/>
        </w:rPr>
        <w:t xml:space="preserve">34. При впервые выявленной полной блокаде левой ножки пучка Гиса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35. Выдача медицинского заключения допускается только с применением ограничений OML или OCL в том случае, если кандидат на получение медицинского заключения 1 класса минимизировал все корригируемые факторы сердечно-сосудистого риска до приемлемого уровня и регулярно (минимум один раз в год) проходит кардиологическое обследование, а также в случае потребности получает медикаментозную терапию. Необходимо соблюдение следующих условий:</w:t>
      </w:r>
    </w:p>
    <w:p>
      <w:pPr>
        <w:pStyle w:val="0"/>
        <w:spacing w:before="200" w:line-rule="auto"/>
        <w:ind w:firstLine="540"/>
        <w:jc w:val="both"/>
      </w:pPr>
      <w:r>
        <w:rPr>
          <w:sz w:val="20"/>
        </w:rPr>
        <w:t xml:space="preserve">отсутствует значимая структурная патология сердца;</w:t>
      </w:r>
    </w:p>
    <w:p>
      <w:pPr>
        <w:pStyle w:val="0"/>
        <w:spacing w:before="200" w:line-rule="auto"/>
        <w:ind w:firstLine="540"/>
        <w:jc w:val="both"/>
      </w:pPr>
      <w:r>
        <w:rPr>
          <w:sz w:val="20"/>
        </w:rPr>
        <w:t xml:space="preserve">получена 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при суточном мониторировании ЭКГ отсутствуют нарушения ритма и проводимости, подразумевающие вынесение решения о негодности к обучению и работе;</w:t>
      </w:r>
    </w:p>
    <w:p>
      <w:pPr>
        <w:pStyle w:val="0"/>
        <w:spacing w:before="200" w:line-rule="auto"/>
        <w:ind w:firstLine="540"/>
        <w:jc w:val="both"/>
      </w:pPr>
      <w:r>
        <w:rPr>
          <w:sz w:val="20"/>
        </w:rPr>
        <w:t xml:space="preserve">при проведении перфузионной томографии миокарда с фармакологической нагрузкой (или эквивалентного исследования) не выявлено признаков обратимого дефекта перфузии. Небольшой фиксированный дефект допускается при условии нормальных значений фракции выброса левого желудочка (не менее 55% при эхокардиографии) или если имеется отрицательный результат стресс-ЭХОКГ;</w:t>
      </w:r>
    </w:p>
    <w:p>
      <w:pPr>
        <w:pStyle w:val="0"/>
        <w:spacing w:before="200" w:line-rule="auto"/>
        <w:ind w:firstLine="540"/>
        <w:jc w:val="both"/>
      </w:pPr>
      <w:r>
        <w:rPr>
          <w:sz w:val="20"/>
        </w:rPr>
        <w:t xml:space="preserve">при мультиспиральной компьютерной томографии коронарных артерий или селективной коронарной ангиографии не выявлено стеноза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50% любой крупной артерии (правой коронарной артерии, передней межжелудочковой, огибающей артерии, задней межжелудочковой артерии) или любого венозного/артериального шунта или стеноза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в стволе левой коронарной артерии или в проксимальном отделе передней нисходящей артерии.</w:t>
      </w:r>
    </w:p>
    <w:p>
      <w:pPr>
        <w:pStyle w:val="0"/>
        <w:spacing w:before="200" w:line-rule="auto"/>
        <w:ind w:firstLine="540"/>
        <w:jc w:val="both"/>
      </w:pPr>
      <w:r>
        <w:rPr>
          <w:sz w:val="20"/>
        </w:rPr>
        <w:t xml:space="preserve">36. Выявление блокады передней ветви левой ножки пучка Гиса или блокады задней ветви левой ножки пучка Гиса не является основанием для отказа в выдаче медицинского заключения:</w:t>
      </w:r>
    </w:p>
    <w:p>
      <w:pPr>
        <w:pStyle w:val="0"/>
        <w:spacing w:before="200" w:line-rule="auto"/>
        <w:ind w:firstLine="540"/>
        <w:jc w:val="both"/>
      </w:pPr>
      <w:r>
        <w:rPr>
          <w:sz w:val="20"/>
        </w:rPr>
        <w:t xml:space="preserve">при отсутствии значимой структурной патологии сердца и врожденных пороков сердца;</w:t>
      </w:r>
    </w:p>
    <w:p>
      <w:pPr>
        <w:pStyle w:val="0"/>
        <w:spacing w:before="200" w:line-rule="auto"/>
        <w:ind w:firstLine="540"/>
        <w:jc w:val="both"/>
      </w:pPr>
      <w:r>
        <w:rPr>
          <w:sz w:val="20"/>
        </w:rPr>
        <w:t xml:space="preserve">при отрицательной пробе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при суточном мониторировании ЭКГ нарушений ритма и проводимости, подразумевающих вынесение решения о негодности к обучению и работе;</w:t>
      </w:r>
    </w:p>
    <w:p>
      <w:pPr>
        <w:pStyle w:val="0"/>
        <w:spacing w:before="200" w:line-rule="auto"/>
        <w:ind w:firstLine="540"/>
        <w:jc w:val="both"/>
      </w:pPr>
      <w:r>
        <w:rPr>
          <w:sz w:val="20"/>
        </w:rPr>
        <w:t xml:space="preserve">при отсутствии жалоб и/или проявлений клинических симптомов заболевания.</w:t>
      </w:r>
    </w:p>
    <w:p>
      <w:pPr>
        <w:pStyle w:val="0"/>
        <w:spacing w:before="200" w:line-rule="auto"/>
        <w:ind w:firstLine="540"/>
        <w:jc w:val="both"/>
      </w:pPr>
      <w:r>
        <w:rPr>
          <w:sz w:val="20"/>
        </w:rPr>
        <w:t xml:space="preserve">37. При выявлении блокады передней ветви левой ножки пучка Гиса или блокады задней ветви левой ножки пучка Гиса необходимо проведение кардиологического обследования и, в случае необходимости, ежегодного кардиологического наблюдения.</w:t>
      </w:r>
    </w:p>
    <w:p>
      <w:pPr>
        <w:pStyle w:val="0"/>
        <w:jc w:val="both"/>
      </w:pPr>
      <w:r>
        <w:rPr>
          <w:sz w:val="20"/>
        </w:rPr>
      </w:r>
    </w:p>
    <w:p>
      <w:pPr>
        <w:pStyle w:val="2"/>
        <w:outlineLvl w:val="4"/>
        <w:jc w:val="center"/>
      </w:pPr>
      <w:r>
        <w:rPr>
          <w:sz w:val="20"/>
        </w:rPr>
        <w:t xml:space="preserve">Ионные каналопатии (феномен/синдром Бругада,</w:t>
      </w:r>
    </w:p>
    <w:p>
      <w:pPr>
        <w:pStyle w:val="2"/>
        <w:jc w:val="center"/>
      </w:pPr>
      <w:r>
        <w:rPr>
          <w:sz w:val="20"/>
        </w:rPr>
        <w:t xml:space="preserve">феномен/синдром удлиненного интервала QT (LQTS),</w:t>
      </w:r>
    </w:p>
    <w:p>
      <w:pPr>
        <w:pStyle w:val="2"/>
        <w:jc w:val="center"/>
      </w:pPr>
      <w:r>
        <w:rPr>
          <w:sz w:val="20"/>
        </w:rPr>
        <w:t xml:space="preserve">феномен/синдром укороченного интервала QT (SQT),</w:t>
      </w:r>
    </w:p>
    <w:p>
      <w:pPr>
        <w:pStyle w:val="2"/>
        <w:jc w:val="center"/>
      </w:pPr>
      <w:r>
        <w:rPr>
          <w:sz w:val="20"/>
        </w:rPr>
        <w:t xml:space="preserve">феномен/синдром ранней реполяризации желудочков) (I49.8)</w:t>
      </w:r>
    </w:p>
    <w:p>
      <w:pPr>
        <w:pStyle w:val="0"/>
        <w:jc w:val="both"/>
      </w:pPr>
      <w:r>
        <w:rPr>
          <w:sz w:val="20"/>
        </w:rPr>
      </w:r>
    </w:p>
    <w:p>
      <w:pPr>
        <w:pStyle w:val="0"/>
        <w:ind w:firstLine="540"/>
        <w:jc w:val="both"/>
      </w:pPr>
      <w:r>
        <w:rPr>
          <w:sz w:val="20"/>
        </w:rPr>
        <w:t xml:space="preserve">38. Кандидаты на получение медицинского заключения 1 класса с диагностированными ионными каналопатиями подлежат отстранению от работы и кардиологическому обследованию.</w:t>
      </w:r>
    </w:p>
    <w:p>
      <w:pPr>
        <w:pStyle w:val="0"/>
        <w:spacing w:before="200" w:line-rule="auto"/>
        <w:ind w:firstLine="540"/>
        <w:jc w:val="both"/>
      </w:pPr>
      <w:r>
        <w:rPr>
          <w:sz w:val="20"/>
        </w:rPr>
        <w:t xml:space="preserve">39. Феномен/синдром ранней реполяризации желудочков является поводом для кардиологического обследования только при наличии j-волны на ЭКГ в отведениях II, III, aVF.</w:t>
      </w:r>
    </w:p>
    <w:p>
      <w:pPr>
        <w:pStyle w:val="0"/>
        <w:spacing w:before="200" w:line-rule="auto"/>
        <w:ind w:firstLine="540"/>
        <w:jc w:val="both"/>
      </w:pPr>
      <w:r>
        <w:rPr>
          <w:sz w:val="20"/>
        </w:rPr>
        <w:t xml:space="preserve">40. Медицинское заключение 1 класса не выдается:</w:t>
      </w:r>
    </w:p>
    <w:p>
      <w:pPr>
        <w:pStyle w:val="0"/>
        <w:spacing w:before="200" w:line-rule="auto"/>
        <w:ind w:firstLine="540"/>
        <w:jc w:val="both"/>
      </w:pPr>
      <w:r>
        <w:rPr>
          <w:sz w:val="20"/>
        </w:rPr>
        <w:t xml:space="preserve">при первичном освидетельствовании;</w:t>
      </w:r>
    </w:p>
    <w:p>
      <w:pPr>
        <w:pStyle w:val="0"/>
        <w:spacing w:before="200" w:line-rule="auto"/>
        <w:ind w:firstLine="540"/>
        <w:jc w:val="both"/>
      </w:pPr>
      <w:r>
        <w:rPr>
          <w:sz w:val="20"/>
        </w:rPr>
        <w:t xml:space="preserve">при наличии в семейном анамнезе случаев внезапной сердечной смерти;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на ЭКГ удлинения QTc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500 мс, укорочения QTc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330 мс или феномена Бругада 1 типа;</w:t>
      </w:r>
    </w:p>
    <w:p>
      <w:pPr>
        <w:pStyle w:val="0"/>
        <w:spacing w:before="200" w:line-rule="auto"/>
        <w:ind w:firstLine="540"/>
        <w:jc w:val="both"/>
      </w:pPr>
      <w:r>
        <w:rPr>
          <w:sz w:val="20"/>
        </w:rPr>
        <w:t xml:space="preserve">при наличии жалоб и/или проявлении клинических симптомов заболевания, особенно синкопальных эпизодов.</w:t>
      </w:r>
    </w:p>
    <w:p>
      <w:pPr>
        <w:pStyle w:val="0"/>
        <w:spacing w:before="200" w:line-rule="auto"/>
        <w:ind w:firstLine="540"/>
        <w:jc w:val="both"/>
      </w:pPr>
      <w:r>
        <w:rPr>
          <w:sz w:val="20"/>
        </w:rPr>
        <w:t xml:space="preserve">41. Выдача медицинского заключения допускается только с применением ограничений OML или OCL обладателям свидетельств при выявлении синдрома удлиненных ионных каналопатий в том случае, если кандидат на получение медицинского заключения 1 класса минимизировал все корригируемые факторы сердечно-сосудистого риска до приемлемого уровня и регулярно (минимум один раз в год) проходит кардиологическое обследование. Необходимо соблюдение следующих условий:</w:t>
      </w:r>
    </w:p>
    <w:p>
      <w:pPr>
        <w:pStyle w:val="0"/>
        <w:spacing w:before="200" w:line-rule="auto"/>
        <w:ind w:firstLine="540"/>
        <w:jc w:val="both"/>
      </w:pPr>
      <w:r>
        <w:rPr>
          <w:sz w:val="20"/>
        </w:rPr>
        <w:t xml:space="preserve">на ЭКГ отсутствуют удлинение QTc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500 мс, укорочение QTc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330 мс или феномен Бругада 1 типа или особенностей после фармакологической провокации;</w:t>
      </w:r>
    </w:p>
    <w:p>
      <w:pPr>
        <w:pStyle w:val="0"/>
        <w:spacing w:before="200" w:line-rule="auto"/>
        <w:ind w:firstLine="540"/>
        <w:jc w:val="both"/>
      </w:pPr>
      <w:r>
        <w:rPr>
          <w:sz w:val="20"/>
        </w:rPr>
        <w:t xml:space="preserve">отсутствуют желудочковые аритмии 3 - 5 градаций по B.Lown и M.Wolf в модификации M.Ryan и эпизоды желудочковой тахикардии при суточном мониторировании ЭКГ;</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отсутствуют жалобы и/или проявления клинических симптомов заболевания.</w:t>
      </w:r>
    </w:p>
    <w:p>
      <w:pPr>
        <w:pStyle w:val="0"/>
        <w:jc w:val="both"/>
      </w:pPr>
      <w:r>
        <w:rPr>
          <w:sz w:val="20"/>
        </w:rPr>
      </w:r>
    </w:p>
    <w:p>
      <w:pPr>
        <w:pStyle w:val="2"/>
        <w:outlineLvl w:val="3"/>
        <w:jc w:val="center"/>
      </w:pPr>
      <w:r>
        <w:rPr>
          <w:sz w:val="20"/>
        </w:rPr>
        <w:t xml:space="preserve">Патология клапанов сердца</w:t>
      </w:r>
    </w:p>
    <w:p>
      <w:pPr>
        <w:pStyle w:val="0"/>
        <w:jc w:val="both"/>
      </w:pPr>
      <w:r>
        <w:rPr>
          <w:sz w:val="20"/>
        </w:rPr>
      </w:r>
    </w:p>
    <w:p>
      <w:pPr>
        <w:pStyle w:val="2"/>
        <w:outlineLvl w:val="4"/>
        <w:jc w:val="center"/>
      </w:pPr>
      <w:r>
        <w:rPr>
          <w:sz w:val="20"/>
        </w:rPr>
        <w:t xml:space="preserve">Двустворчатый аортальный клапан (Q23.1)</w:t>
      </w:r>
    </w:p>
    <w:p>
      <w:pPr>
        <w:pStyle w:val="0"/>
        <w:jc w:val="both"/>
      </w:pPr>
      <w:r>
        <w:rPr>
          <w:sz w:val="20"/>
        </w:rPr>
      </w:r>
    </w:p>
    <w:p>
      <w:pPr>
        <w:pStyle w:val="0"/>
        <w:ind w:firstLine="540"/>
        <w:jc w:val="both"/>
      </w:pPr>
      <w:r>
        <w:rPr>
          <w:sz w:val="20"/>
        </w:rPr>
        <w:t xml:space="preserve">42. Кандидаты на получение медицинского заключения 1 класса с двустворчатым аортальным клапаном могут быть признаны годными к обучению и работе без ограничений при отсутствии значимой структурной патологии сердца, жалоб и клинических проявлений заболеваний сердечно-сосудистой системы, а также при регулярном (не реже одного раза в 2 года) кардиологическом обследовании.</w:t>
      </w:r>
    </w:p>
    <w:p>
      <w:pPr>
        <w:pStyle w:val="0"/>
        <w:jc w:val="both"/>
      </w:pPr>
      <w:r>
        <w:rPr>
          <w:sz w:val="20"/>
        </w:rPr>
      </w:r>
    </w:p>
    <w:p>
      <w:pPr>
        <w:pStyle w:val="2"/>
        <w:outlineLvl w:val="4"/>
        <w:jc w:val="center"/>
      </w:pPr>
      <w:r>
        <w:rPr>
          <w:sz w:val="20"/>
        </w:rPr>
        <w:t xml:space="preserve">Аортальный стеноз (I35.0, I06.0)</w:t>
      </w:r>
    </w:p>
    <w:p>
      <w:pPr>
        <w:pStyle w:val="0"/>
        <w:jc w:val="both"/>
      </w:pPr>
      <w:r>
        <w:rPr>
          <w:sz w:val="20"/>
        </w:rPr>
      </w:r>
    </w:p>
    <w:p>
      <w:pPr>
        <w:pStyle w:val="0"/>
        <w:ind w:firstLine="540"/>
        <w:jc w:val="both"/>
      </w:pPr>
      <w:r>
        <w:rPr>
          <w:sz w:val="20"/>
        </w:rPr>
        <w:t xml:space="preserve">43. Кандидаты на получение медицинского заключения 1 класса с выявленным аортальным стенозом подлежат отстранению от летной работы и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1 класса при аортальном стенозе 2 и более степени с кодом </w:t>
      </w:r>
      <w:hyperlink w:history="0" r:id="rId8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I35.0, I06.0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(абзац введен </w:t>
      </w:r>
      <w:hyperlink w:history="0" r:id="rId8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44.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пиковой скорости аортального потока по Доплеру &gt; 3 м/с;</w:t>
      </w:r>
    </w:p>
    <w:p>
      <w:pPr>
        <w:pStyle w:val="0"/>
        <w:spacing w:before="200" w:line-rule="auto"/>
        <w:ind w:firstLine="540"/>
        <w:jc w:val="both"/>
      </w:pPr>
      <w:r>
        <w:rPr>
          <w:sz w:val="20"/>
        </w:rPr>
        <w:t xml:space="preserve">при наличии в анамнезе ишемического инсульта и/или транзиторной ишемической атаки;</w:t>
      </w:r>
    </w:p>
    <w:p>
      <w:pPr>
        <w:pStyle w:val="0"/>
        <w:spacing w:before="200" w:line-rule="auto"/>
        <w:ind w:firstLine="540"/>
        <w:jc w:val="both"/>
      </w:pPr>
      <w:r>
        <w:rPr>
          <w:sz w:val="20"/>
        </w:rPr>
        <w:t xml:space="preserve">при увеличении толщины стенки левого желудочка более 1,1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45. Выявление у обладателей свидетельств аортального стеноза с пиковой скоростью аортального потока по Доплеру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2,5 м/с не является основанием для их дисквалификации и введения ограничений при условии регулярного (не реже одного раза в год) проведения кардиологического обследования.</w:t>
      </w:r>
    </w:p>
    <w:p>
      <w:pPr>
        <w:pStyle w:val="0"/>
        <w:spacing w:before="200" w:line-rule="auto"/>
        <w:ind w:firstLine="540"/>
        <w:jc w:val="both"/>
      </w:pPr>
      <w:r>
        <w:rPr>
          <w:sz w:val="20"/>
        </w:rPr>
        <w:t xml:space="preserve">46. При выявлении аортального стеноза с пиковой скоростью аортального потока в аорте по Доплеру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2,6 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м/с, а также при наличии признаков кальцификации клапана выдача медицинского заключения допускается только обладателям свидетельств с применением ограничений OML или OCL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4"/>
        <w:jc w:val="center"/>
      </w:pPr>
      <w:r>
        <w:rPr>
          <w:sz w:val="20"/>
        </w:rPr>
        <w:t xml:space="preserve">Аортальная регургитация (I35.1, I06.1)</w:t>
      </w:r>
    </w:p>
    <w:p>
      <w:pPr>
        <w:pStyle w:val="0"/>
        <w:jc w:val="both"/>
      </w:pPr>
      <w:r>
        <w:rPr>
          <w:sz w:val="20"/>
        </w:rPr>
      </w:r>
    </w:p>
    <w:p>
      <w:pPr>
        <w:pStyle w:val="0"/>
        <w:ind w:firstLine="540"/>
        <w:jc w:val="both"/>
      </w:pPr>
      <w:r>
        <w:rPr>
          <w:sz w:val="20"/>
        </w:rPr>
        <w:t xml:space="preserve">47. Кандидаты на получение медицинского заключения 1 класса с выявленной аортальной регургитацией подлежат отстранению от летной работы и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1 класса при аортальной регургитации 2 и более степени с кодом </w:t>
      </w:r>
      <w:hyperlink w:history="0" r:id="rId8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I35.1, I06.1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(абзац введен </w:t>
      </w:r>
      <w:hyperlink w:history="0" r:id="rId8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48. Медицинское заключение 1 класса не выдается:</w:t>
      </w:r>
    </w:p>
    <w:p>
      <w:pPr>
        <w:pStyle w:val="0"/>
        <w:spacing w:before="200" w:line-rule="auto"/>
        <w:ind w:firstLine="540"/>
        <w:jc w:val="both"/>
      </w:pPr>
      <w:r>
        <w:rPr>
          <w:sz w:val="20"/>
        </w:rPr>
        <w:t xml:space="preserve">при первичном освидетельствовании;</w:t>
      </w:r>
    </w:p>
    <w:p>
      <w:pPr>
        <w:pStyle w:val="0"/>
        <w:spacing w:before="200" w:line-rule="auto"/>
        <w:ind w:firstLine="540"/>
        <w:jc w:val="both"/>
      </w:pPr>
      <w:r>
        <w:rPr>
          <w:sz w:val="20"/>
        </w:rPr>
        <w:t xml:space="preserve">при диаметре корня аорты &gt; 5,0 см;</w:t>
      </w:r>
    </w:p>
    <w:p>
      <w:pPr>
        <w:pStyle w:val="0"/>
        <w:spacing w:before="200" w:line-rule="auto"/>
        <w:ind w:firstLine="540"/>
        <w:jc w:val="both"/>
      </w:pPr>
      <w:r>
        <w:rPr>
          <w:sz w:val="20"/>
        </w:rPr>
        <w:t xml:space="preserve">при конечно-диастолическом размере левого желудочка (КДР ЛЖ) &gt; 6,5 см;</w:t>
      </w:r>
    </w:p>
    <w:p>
      <w:pPr>
        <w:pStyle w:val="0"/>
        <w:spacing w:before="200" w:line-rule="auto"/>
        <w:ind w:firstLine="540"/>
        <w:jc w:val="both"/>
      </w:pPr>
      <w:r>
        <w:rPr>
          <w:sz w:val="20"/>
        </w:rPr>
        <w:t xml:space="preserve">при конечно-систолическом размере левого желудочка (КСР ЛЖ) &gt; 4,4 см;</w:t>
      </w:r>
    </w:p>
    <w:p>
      <w:pPr>
        <w:pStyle w:val="0"/>
        <w:spacing w:before="200" w:line-rule="auto"/>
        <w:ind w:firstLine="540"/>
        <w:jc w:val="both"/>
      </w:pPr>
      <w:r>
        <w:rPr>
          <w:sz w:val="20"/>
        </w:rPr>
        <w:t xml:space="preserve">при увеличении толщины межжелудочковой перегородки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1,4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49. Выявление у обладателей свидетельств аортальной регургитации с КДР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6,0 см и КСР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4,1 см не является основанием для вынесения заключения о негодности к обучению и работе и введения ограничений при условии регулярного (не реже одного раза в год) проведения кардиологического обследования.</w:t>
      </w:r>
    </w:p>
    <w:p>
      <w:pPr>
        <w:pStyle w:val="0"/>
        <w:spacing w:before="200" w:line-rule="auto"/>
        <w:ind w:firstLine="540"/>
        <w:jc w:val="both"/>
      </w:pPr>
      <w:r>
        <w:rPr>
          <w:sz w:val="20"/>
        </w:rPr>
        <w:t xml:space="preserve">50. При аортальной регургитации с КДР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6,2 см 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6,5 см и КСР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4,2 см 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4,4 см выдача медицинского заключения допускается только обладателям свидетельств с применением ограничений OML или OCL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4"/>
        <w:jc w:val="center"/>
      </w:pPr>
      <w:r>
        <w:rPr>
          <w:sz w:val="20"/>
        </w:rPr>
        <w:t xml:space="preserve">Патология митрального клапана (I34, I05)</w:t>
      </w:r>
    </w:p>
    <w:p>
      <w:pPr>
        <w:pStyle w:val="0"/>
        <w:jc w:val="both"/>
      </w:pPr>
      <w:r>
        <w:rPr>
          <w:sz w:val="20"/>
        </w:rPr>
      </w:r>
    </w:p>
    <w:p>
      <w:pPr>
        <w:pStyle w:val="0"/>
        <w:ind w:firstLine="540"/>
        <w:jc w:val="both"/>
      </w:pPr>
      <w:r>
        <w:rPr>
          <w:sz w:val="20"/>
        </w:rPr>
        <w:t xml:space="preserve">51. Кандидаты на получение медицинского заключения 1 класса с выявленной патологией и аномалиями митрального клапана подлежат отстранению от летной работы и кардиологическому обследованию.</w:t>
      </w:r>
    </w:p>
    <w:p>
      <w:pPr>
        <w:pStyle w:val="0"/>
        <w:spacing w:before="200" w:line-rule="auto"/>
        <w:ind w:firstLine="540"/>
        <w:jc w:val="both"/>
      </w:pPr>
      <w:r>
        <w:rPr>
          <w:sz w:val="20"/>
        </w:rPr>
        <w:t xml:space="preserve">52. Наличие пролапса митрального клапана &lt; 6 мм и толщина створок митрального клапана &lt; 5 мм при отсутствии жалоб и клинических проявлений не являются основанием для отказа в выдаче медицинского заключения.</w:t>
      </w:r>
    </w:p>
    <w:p>
      <w:pPr>
        <w:pStyle w:val="0"/>
        <w:spacing w:before="200" w:line-rule="auto"/>
        <w:ind w:firstLine="540"/>
        <w:jc w:val="both"/>
      </w:pPr>
      <w:r>
        <w:rPr>
          <w:sz w:val="20"/>
        </w:rPr>
        <w:t xml:space="preserve">53. Медицинское заключение 1 класса не выдается:</w:t>
      </w:r>
    </w:p>
    <w:p>
      <w:pPr>
        <w:pStyle w:val="0"/>
        <w:spacing w:before="200" w:line-rule="auto"/>
        <w:ind w:firstLine="540"/>
        <w:jc w:val="both"/>
      </w:pPr>
      <w:r>
        <w:rPr>
          <w:sz w:val="20"/>
        </w:rPr>
        <w:t xml:space="preserve">при площади митрального отверстия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1,5 см</w:t>
      </w:r>
      <w:r>
        <w:rPr>
          <w:sz w:val="20"/>
          <w:vertAlign w:val="superscript"/>
        </w:rPr>
        <w:t xml:space="preserve">2</w:t>
      </w:r>
      <w:r>
        <w:rPr>
          <w:sz w:val="20"/>
        </w:rPr>
        <w:t xml:space="preserve"> при митральном стенозе;</w:t>
      </w:r>
    </w:p>
    <w:p>
      <w:pPr>
        <w:pStyle w:val="0"/>
        <w:spacing w:before="200" w:line-rule="auto"/>
        <w:ind w:firstLine="540"/>
        <w:jc w:val="both"/>
      </w:pPr>
      <w:r>
        <w:rPr>
          <w:sz w:val="20"/>
        </w:rPr>
        <w:t xml:space="preserve">при площади струи регургитации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 см</w:t>
      </w:r>
      <w:r>
        <w:rPr>
          <w:sz w:val="20"/>
          <w:vertAlign w:val="superscript"/>
        </w:rPr>
        <w:t xml:space="preserve">2</w:t>
      </w:r>
      <w:r>
        <w:rPr>
          <w:sz w:val="20"/>
        </w:rPr>
        <w:t xml:space="preserve"> или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20% от площади левого предсердия и/или ширине vena constanta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0,3 см при митральной регургитации;</w:t>
      </w:r>
    </w:p>
    <w:p>
      <w:pPr>
        <w:pStyle w:val="0"/>
        <w:spacing w:before="200" w:line-rule="auto"/>
        <w:ind w:firstLine="540"/>
        <w:jc w:val="both"/>
      </w:pPr>
      <w:r>
        <w:rPr>
          <w:sz w:val="20"/>
        </w:rPr>
        <w:t xml:space="preserve">при ревматическом митральном стенозе/регургитации;</w:t>
      </w:r>
    </w:p>
    <w:p>
      <w:pPr>
        <w:pStyle w:val="0"/>
        <w:spacing w:before="200" w:line-rule="auto"/>
        <w:ind w:firstLine="540"/>
        <w:jc w:val="both"/>
      </w:pPr>
      <w:r>
        <w:rPr>
          <w:sz w:val="20"/>
        </w:rPr>
        <w:t xml:space="preserve">при неревматической неишемической регургитации митрального клапана, вызванной разрывом хорды или ишемическим повреждением папиллярных мышц;</w:t>
      </w:r>
    </w:p>
    <w:p>
      <w:pPr>
        <w:pStyle w:val="0"/>
        <w:spacing w:before="200" w:line-rule="auto"/>
        <w:ind w:firstLine="540"/>
        <w:jc w:val="both"/>
      </w:pPr>
      <w:r>
        <w:rPr>
          <w:sz w:val="20"/>
        </w:rPr>
        <w:t xml:space="preserve">при наличии фибрилляции предсердий или трепетания предсердий на фоне митрального стеноза/регургитации;</w:t>
      </w:r>
    </w:p>
    <w:p>
      <w:pPr>
        <w:pStyle w:val="0"/>
        <w:spacing w:before="200" w:line-rule="auto"/>
        <w:ind w:firstLine="540"/>
        <w:jc w:val="both"/>
      </w:pPr>
      <w:r>
        <w:rPr>
          <w:sz w:val="20"/>
        </w:rPr>
        <w:t xml:space="preserve">при увеличении КДР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6,1 см;</w:t>
      </w:r>
    </w:p>
    <w:p>
      <w:pPr>
        <w:pStyle w:val="0"/>
        <w:spacing w:before="200" w:line-rule="auto"/>
        <w:ind w:firstLine="540"/>
        <w:jc w:val="both"/>
      </w:pPr>
      <w:r>
        <w:rPr>
          <w:sz w:val="20"/>
        </w:rPr>
        <w:t xml:space="preserve">при увеличении КСР ЛЖ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4,2 см;</w:t>
      </w:r>
    </w:p>
    <w:p>
      <w:pPr>
        <w:pStyle w:val="0"/>
        <w:spacing w:before="200" w:line-rule="auto"/>
        <w:ind w:firstLine="540"/>
        <w:jc w:val="both"/>
      </w:pPr>
      <w:r>
        <w:rPr>
          <w:sz w:val="20"/>
        </w:rPr>
        <w:t xml:space="preserve">при увеличении толщины межжелудочковой перегородки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1,4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54. В остальных случаях допускается выдача медицинского заключения только обладателям свидетельств с применением ограничений OML или OCL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4"/>
        <w:jc w:val="center"/>
      </w:pPr>
      <w:r>
        <w:rPr>
          <w:sz w:val="20"/>
        </w:rPr>
        <w:t xml:space="preserve">Состояния после хирургического лечения патологии</w:t>
      </w:r>
    </w:p>
    <w:p>
      <w:pPr>
        <w:pStyle w:val="2"/>
        <w:jc w:val="center"/>
      </w:pPr>
      <w:r>
        <w:rPr>
          <w:sz w:val="20"/>
        </w:rPr>
        <w:t xml:space="preserve">клапанов сердца</w:t>
      </w:r>
    </w:p>
    <w:p>
      <w:pPr>
        <w:pStyle w:val="0"/>
        <w:jc w:val="both"/>
      </w:pPr>
      <w:r>
        <w:rPr>
          <w:sz w:val="20"/>
        </w:rPr>
      </w:r>
    </w:p>
    <w:p>
      <w:pPr>
        <w:pStyle w:val="0"/>
        <w:ind w:firstLine="540"/>
        <w:jc w:val="both"/>
      </w:pPr>
      <w:r>
        <w:rPr>
          <w:sz w:val="20"/>
        </w:rPr>
        <w:t xml:space="preserve">55. Освидетельствование кандидатов на получение медицинского заключения 1 класса, перенесших замену аортального клапана биологическим протезом или хирургическое восстановление митрального клапана, проводится не ранее чем через 6 месяцев после оперативного лечения.</w:t>
      </w:r>
    </w:p>
    <w:p>
      <w:pPr>
        <w:pStyle w:val="0"/>
        <w:spacing w:before="200" w:line-rule="auto"/>
        <w:ind w:firstLine="540"/>
        <w:jc w:val="both"/>
      </w:pPr>
      <w:r>
        <w:rPr>
          <w:sz w:val="20"/>
        </w:rPr>
        <w:t xml:space="preserve">56.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аортальной вальвулотомии;</w:t>
      </w:r>
    </w:p>
    <w:p>
      <w:pPr>
        <w:pStyle w:val="0"/>
        <w:spacing w:before="200" w:line-rule="auto"/>
        <w:ind w:firstLine="540"/>
        <w:jc w:val="both"/>
      </w:pPr>
      <w:r>
        <w:rPr>
          <w:sz w:val="20"/>
        </w:rPr>
        <w:t xml:space="preserve">при замене любого клапана, многоклапанном протезировании;</w:t>
      </w:r>
    </w:p>
    <w:p>
      <w:pPr>
        <w:pStyle w:val="0"/>
        <w:spacing w:before="200" w:line-rule="auto"/>
        <w:ind w:firstLine="540"/>
        <w:jc w:val="both"/>
      </w:pPr>
      <w:r>
        <w:rPr>
          <w:sz w:val="20"/>
        </w:rPr>
        <w:t xml:space="preserve">при наличии в анамнезе тромбоэмболических событий;</w:t>
      </w:r>
    </w:p>
    <w:p>
      <w:pPr>
        <w:pStyle w:val="0"/>
        <w:spacing w:before="200" w:line-rule="auto"/>
        <w:ind w:firstLine="540"/>
        <w:jc w:val="both"/>
      </w:pPr>
      <w:r>
        <w:rPr>
          <w:sz w:val="20"/>
        </w:rPr>
        <w:t xml:space="preserve">при отсутствии постоянного синусового ритма;</w:t>
      </w:r>
    </w:p>
    <w:p>
      <w:pPr>
        <w:pStyle w:val="0"/>
        <w:spacing w:before="200" w:line-rule="auto"/>
        <w:ind w:firstLine="540"/>
        <w:jc w:val="both"/>
      </w:pPr>
      <w:r>
        <w:rPr>
          <w:sz w:val="20"/>
        </w:rPr>
        <w:t xml:space="preserve">при наличии показаний к приему антикоагулянтной терапии;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увеличении диаметра корня аорты более 5,0 см;</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57. Выдача медицинского заключения допускается после медицинского обследования в стационарных условиях медицинской организации, находящейся в ведении уполномоченного органа, с последующим освидетельствованием в ЦВЛЭК ГА и только обладателям свидетельств с применением ограничений OML или OCL в том случае, если они минимизировали все корригируемые факторы сердечно-сосудистого риска до приемлемого уровня и регулярно (минимум один раз в год) осматриваются кардиологом, а также в случае необходимости получают медикаментозную терапию.</w:t>
      </w:r>
    </w:p>
    <w:p>
      <w:pPr>
        <w:pStyle w:val="0"/>
        <w:jc w:val="both"/>
      </w:pPr>
      <w:r>
        <w:rPr>
          <w:sz w:val="20"/>
        </w:rPr>
        <w:t xml:space="preserve">(в ред. </w:t>
      </w:r>
      <w:hyperlink w:history="0" r:id="rId8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4"/>
        <w:jc w:val="center"/>
      </w:pPr>
      <w:r>
        <w:rPr>
          <w:sz w:val="20"/>
        </w:rPr>
        <w:t xml:space="preserve">Перикардит, миокардит и эндокардит (I30 - I33, I40)</w:t>
      </w:r>
    </w:p>
    <w:p>
      <w:pPr>
        <w:pStyle w:val="0"/>
        <w:jc w:val="both"/>
      </w:pPr>
      <w:r>
        <w:rPr>
          <w:sz w:val="20"/>
        </w:rPr>
      </w:r>
    </w:p>
    <w:p>
      <w:pPr>
        <w:pStyle w:val="0"/>
        <w:ind w:firstLine="540"/>
        <w:jc w:val="both"/>
      </w:pPr>
      <w:r>
        <w:rPr>
          <w:sz w:val="20"/>
        </w:rPr>
        <w:t xml:space="preserve">58. Первичное освидетельствование возможно не ранее чем через 6 месяцев после полного выздоровления и кардиологического обследования при отсутствии нарушения функции сердца вследствие перенесенного заболевания, жалоб и клинических проявлений.</w:t>
      </w:r>
    </w:p>
    <w:p>
      <w:pPr>
        <w:pStyle w:val="0"/>
        <w:spacing w:before="200" w:line-rule="auto"/>
        <w:ind w:firstLine="540"/>
        <w:jc w:val="both"/>
      </w:pPr>
      <w:r>
        <w:rPr>
          <w:sz w:val="20"/>
        </w:rPr>
        <w:t xml:space="preserve">59. Медицинское заключение 1 класса не выдается:</w:t>
      </w:r>
    </w:p>
    <w:p>
      <w:pPr>
        <w:pStyle w:val="0"/>
        <w:spacing w:before="200" w:line-rule="auto"/>
        <w:ind w:firstLine="540"/>
        <w:jc w:val="both"/>
      </w:pPr>
      <w:r>
        <w:rPr>
          <w:sz w:val="20"/>
        </w:rPr>
        <w:t xml:space="preserve">при первичном освидетельствовании;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60. В течение первых 2 лет после перенесенного заболевания допуск к летной работе обладателей свидетельств возможен с ограничением OML или OCL при условии регулярного (не менее одного раза в год) проведения кардиологического осмотра.</w:t>
      </w:r>
    </w:p>
    <w:p>
      <w:pPr>
        <w:pStyle w:val="0"/>
        <w:spacing w:before="200" w:line-rule="auto"/>
        <w:ind w:firstLine="540"/>
        <w:jc w:val="both"/>
      </w:pPr>
      <w:r>
        <w:rPr>
          <w:sz w:val="20"/>
        </w:rPr>
        <w:t xml:space="preserve">По истечении 2 лет после перенесенного заболевания при отсутствии значимых структурных изменений сердца, жалоб и клинических проявлений возможен допуск к летной работе без ограничений.</w:t>
      </w:r>
    </w:p>
    <w:p>
      <w:pPr>
        <w:pStyle w:val="0"/>
        <w:jc w:val="both"/>
      </w:pPr>
      <w:r>
        <w:rPr>
          <w:sz w:val="20"/>
        </w:rPr>
      </w:r>
    </w:p>
    <w:p>
      <w:pPr>
        <w:pStyle w:val="2"/>
        <w:outlineLvl w:val="3"/>
        <w:jc w:val="center"/>
      </w:pPr>
      <w:r>
        <w:rPr>
          <w:sz w:val="20"/>
        </w:rPr>
        <w:t xml:space="preserve">Кардиомиопатии</w:t>
      </w:r>
    </w:p>
    <w:p>
      <w:pPr>
        <w:pStyle w:val="0"/>
        <w:jc w:val="both"/>
      </w:pPr>
      <w:r>
        <w:rPr>
          <w:sz w:val="20"/>
        </w:rPr>
      </w:r>
    </w:p>
    <w:p>
      <w:pPr>
        <w:pStyle w:val="2"/>
        <w:outlineLvl w:val="4"/>
        <w:jc w:val="center"/>
      </w:pPr>
      <w:r>
        <w:rPr>
          <w:sz w:val="20"/>
        </w:rPr>
        <w:t xml:space="preserve">Гипертрофическая кардиомиопатия (I42.1 - I42.2)</w:t>
      </w:r>
    </w:p>
    <w:p>
      <w:pPr>
        <w:pStyle w:val="0"/>
        <w:jc w:val="both"/>
      </w:pPr>
      <w:r>
        <w:rPr>
          <w:sz w:val="20"/>
        </w:rPr>
      </w:r>
    </w:p>
    <w:p>
      <w:pPr>
        <w:pStyle w:val="0"/>
        <w:ind w:firstLine="540"/>
        <w:jc w:val="both"/>
      </w:pPr>
      <w:r>
        <w:rPr>
          <w:sz w:val="20"/>
        </w:rPr>
        <w:t xml:space="preserve">61. Кандидаты на получение медицинского заключения 1 класса с выявленной гипертрофической кардиомиопатией подлежат отстранению от летной работы и кардиологическому обследованию.</w:t>
      </w:r>
    </w:p>
    <w:p>
      <w:pPr>
        <w:pStyle w:val="0"/>
        <w:spacing w:before="200" w:line-rule="auto"/>
        <w:ind w:firstLine="540"/>
        <w:jc w:val="both"/>
      </w:pPr>
      <w:r>
        <w:rPr>
          <w:sz w:val="20"/>
        </w:rPr>
        <w:t xml:space="preserve">62.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наличии в семейном анамнезе случаев внезапной сердечной смерти;</w:t>
      </w:r>
    </w:p>
    <w:p>
      <w:pPr>
        <w:pStyle w:val="0"/>
        <w:spacing w:before="200" w:line-rule="auto"/>
        <w:ind w:firstLine="540"/>
        <w:jc w:val="both"/>
      </w:pPr>
      <w:r>
        <w:rPr>
          <w:sz w:val="20"/>
        </w:rPr>
        <w:t xml:space="preserve">при превышении толщины межжелудочковой перегородки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2,5 см;</w:t>
      </w:r>
    </w:p>
    <w:p>
      <w:pPr>
        <w:pStyle w:val="0"/>
        <w:spacing w:before="200" w:line-rule="auto"/>
        <w:ind w:firstLine="540"/>
        <w:jc w:val="both"/>
      </w:pPr>
      <w:r>
        <w:rPr>
          <w:sz w:val="20"/>
        </w:rPr>
        <w:t xml:space="preserve">при градиенте давления в выносящем тракте левого желудочка в покое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50 мм рт. ст;</w:t>
      </w:r>
    </w:p>
    <w:p>
      <w:pPr>
        <w:pStyle w:val="0"/>
        <w:spacing w:before="200" w:line-rule="auto"/>
        <w:ind w:firstLine="540"/>
        <w:jc w:val="both"/>
      </w:pPr>
      <w:r>
        <w:rPr>
          <w:sz w:val="20"/>
        </w:rPr>
        <w:t xml:space="preserve">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наличии жалоб и/или проявлении клинических симптомов заболевания.</w:t>
      </w:r>
    </w:p>
    <w:p>
      <w:pPr>
        <w:pStyle w:val="0"/>
        <w:spacing w:before="200" w:line-rule="auto"/>
        <w:ind w:firstLine="540"/>
        <w:jc w:val="both"/>
      </w:pPr>
      <w:r>
        <w:rPr>
          <w:sz w:val="20"/>
        </w:rPr>
        <w:t xml:space="preserve">63. Выдача медицинского заключения допускается после медицинского обследования в стационарных условиях медицинской организации, находящейся в ведении уполномоченного органа, с последующим освидетельствованием в ЦВЛЭК ГА и только с применением ограничений OML или OCL обладателям свидетельств, если они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t xml:space="preserve">(в ред. </w:t>
      </w:r>
      <w:hyperlink w:history="0" r:id="rId8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4"/>
        <w:jc w:val="center"/>
      </w:pPr>
      <w:r>
        <w:rPr>
          <w:sz w:val="20"/>
        </w:rPr>
        <w:t xml:space="preserve">Рестриктивная кардиомиопатия (I42.5)</w:t>
      </w:r>
    </w:p>
    <w:p>
      <w:pPr>
        <w:pStyle w:val="0"/>
        <w:jc w:val="both"/>
      </w:pPr>
      <w:r>
        <w:rPr>
          <w:sz w:val="20"/>
        </w:rPr>
      </w:r>
    </w:p>
    <w:p>
      <w:pPr>
        <w:pStyle w:val="0"/>
        <w:ind w:firstLine="540"/>
        <w:jc w:val="both"/>
      </w:pPr>
      <w:r>
        <w:rPr>
          <w:sz w:val="20"/>
        </w:rPr>
        <w:t xml:space="preserve">64. Кандидаты на получение медицинского заключения 1 класса с выявленной рестриктивной кардиомиопатией подлежат кардиологическому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8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65.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если причиной развития кардиомиопатии не является гемохроматоз;</w:t>
      </w:r>
    </w:p>
    <w:p>
      <w:pPr>
        <w:pStyle w:val="0"/>
        <w:spacing w:before="200" w:line-rule="auto"/>
        <w:ind w:firstLine="540"/>
        <w:jc w:val="both"/>
      </w:pPr>
      <w:r>
        <w:rPr>
          <w:sz w:val="20"/>
        </w:rPr>
        <w:t xml:space="preserve">при нарушении углеводного обмена;</w:t>
      </w:r>
    </w:p>
    <w:p>
      <w:pPr>
        <w:pStyle w:val="0"/>
        <w:spacing w:before="200" w:line-rule="auto"/>
        <w:ind w:firstLine="540"/>
        <w:jc w:val="both"/>
      </w:pPr>
      <w:r>
        <w:rPr>
          <w:sz w:val="20"/>
        </w:rPr>
        <w:t xml:space="preserve">при наличии инфузионно-зависимой анемии;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66. Выдача медицинского заключения допускается только с применением ограничений OML или OCL обладателям свидетельств, если они минимизировали все корригируемые факторы сердечно-сосудистого риска до приемлемого уровня и регулярно (минимум один раз в год) осматриваются кардиологом, а также в случае потребности получают медикаментозную терапию.</w:t>
      </w:r>
    </w:p>
    <w:p>
      <w:pPr>
        <w:pStyle w:val="0"/>
        <w:jc w:val="both"/>
      </w:pPr>
      <w:r>
        <w:rPr>
          <w:sz w:val="20"/>
        </w:rPr>
      </w:r>
    </w:p>
    <w:p>
      <w:pPr>
        <w:pStyle w:val="2"/>
        <w:outlineLvl w:val="4"/>
        <w:jc w:val="center"/>
      </w:pPr>
      <w:r>
        <w:rPr>
          <w:sz w:val="20"/>
        </w:rPr>
        <w:t xml:space="preserve">Дилатационная кардиомиопатия и кардиомиопатия,</w:t>
      </w:r>
    </w:p>
    <w:p>
      <w:pPr>
        <w:pStyle w:val="2"/>
        <w:jc w:val="center"/>
      </w:pPr>
      <w:r>
        <w:rPr>
          <w:sz w:val="20"/>
        </w:rPr>
        <w:t xml:space="preserve">обусловленная воздействием алкоголя/лекарственных средств</w:t>
      </w:r>
    </w:p>
    <w:p>
      <w:pPr>
        <w:pStyle w:val="2"/>
        <w:jc w:val="center"/>
      </w:pPr>
      <w:r>
        <w:rPr>
          <w:sz w:val="20"/>
        </w:rPr>
        <w:t xml:space="preserve">(I42.0, I42.6, I42.7)</w:t>
      </w:r>
    </w:p>
    <w:p>
      <w:pPr>
        <w:pStyle w:val="0"/>
        <w:jc w:val="both"/>
      </w:pPr>
      <w:r>
        <w:rPr>
          <w:sz w:val="20"/>
        </w:rPr>
      </w:r>
    </w:p>
    <w:p>
      <w:pPr>
        <w:pStyle w:val="0"/>
        <w:ind w:firstLine="540"/>
        <w:jc w:val="both"/>
      </w:pPr>
      <w:r>
        <w:rPr>
          <w:sz w:val="20"/>
        </w:rPr>
        <w:t xml:space="preserve">67. Кандидаты на получение медицинского заключения 1 класса с выявленной дилатационной кардиомиопатией подлежат кардиологическому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8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68.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в течение первого года после верификации диагноза;</w:t>
      </w:r>
    </w:p>
    <w:p>
      <w:pPr>
        <w:pStyle w:val="0"/>
        <w:spacing w:before="200" w:line-rule="auto"/>
        <w:ind w:firstLine="540"/>
        <w:jc w:val="both"/>
      </w:pPr>
      <w:r>
        <w:rPr>
          <w:sz w:val="20"/>
        </w:rPr>
        <w:t xml:space="preserve">при фракции выброса ЛЖ (формула Симпсона)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54%;</w:t>
      </w:r>
    </w:p>
    <w:p>
      <w:pPr>
        <w:pStyle w:val="0"/>
        <w:spacing w:before="200" w:line-rule="auto"/>
        <w:ind w:firstLine="540"/>
        <w:jc w:val="both"/>
      </w:pPr>
      <w:r>
        <w:rPr>
          <w:sz w:val="20"/>
        </w:rPr>
        <w:t xml:space="preserve">при наличии желудочковых экстрасистол 3 - 5 градаций по B.Lown и M.Wolf в модификации M.Ryan и эпизодов желудочковой тахикардии при суточном мониторировании ЭКГ;</w:t>
      </w:r>
    </w:p>
    <w:p>
      <w:pPr>
        <w:pStyle w:val="0"/>
        <w:spacing w:before="200" w:line-rule="auto"/>
        <w:ind w:firstLine="540"/>
        <w:jc w:val="both"/>
      </w:pPr>
      <w:r>
        <w:rPr>
          <w:sz w:val="20"/>
        </w:rPr>
        <w:t xml:space="preserve">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69. Выдача медицинского заключения допускается только с применением ограничений OML или OCL обладателям свидетельств, если они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4"/>
        <w:jc w:val="center"/>
      </w:pPr>
      <w:r>
        <w:rPr>
          <w:sz w:val="20"/>
        </w:rPr>
        <w:t xml:space="preserve">Саркоидоз с поражением сердца (D86.8)</w:t>
      </w:r>
    </w:p>
    <w:p>
      <w:pPr>
        <w:pStyle w:val="0"/>
        <w:jc w:val="both"/>
      </w:pPr>
      <w:r>
        <w:rPr>
          <w:sz w:val="20"/>
        </w:rPr>
      </w:r>
    </w:p>
    <w:p>
      <w:pPr>
        <w:pStyle w:val="0"/>
        <w:ind w:firstLine="540"/>
        <w:jc w:val="both"/>
      </w:pPr>
      <w:r>
        <w:rPr>
          <w:sz w:val="20"/>
        </w:rPr>
        <w:t xml:space="preserve">70. Кандидаты на получение медицинского заключения 1 класса с впервые установленным диагнозом подлежат кардиологическому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8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71. Медицинское заключение 1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в течение первых 6 месяцев после верификации диагноза;</w:t>
      </w:r>
    </w:p>
    <w:p>
      <w:pPr>
        <w:pStyle w:val="0"/>
        <w:spacing w:before="200" w:line-rule="auto"/>
        <w:ind w:firstLine="540"/>
        <w:jc w:val="both"/>
      </w:pPr>
      <w:r>
        <w:rPr>
          <w:sz w:val="20"/>
        </w:rPr>
        <w:t xml:space="preserve">при увеличении корневых лимфоузлов при серии рентгенологических исследований органов грудной клетки;</w:t>
      </w:r>
    </w:p>
    <w:p>
      <w:pPr>
        <w:pStyle w:val="0"/>
        <w:spacing w:before="200" w:line-rule="auto"/>
        <w:ind w:firstLine="540"/>
        <w:jc w:val="both"/>
      </w:pPr>
      <w:r>
        <w:rPr>
          <w:sz w:val="20"/>
        </w:rPr>
        <w:t xml:space="preserve">при отсутствии признаков гипоксемии;</w:t>
      </w:r>
    </w:p>
    <w:p>
      <w:pPr>
        <w:pStyle w:val="0"/>
        <w:spacing w:before="200" w:line-rule="auto"/>
        <w:ind w:firstLine="540"/>
        <w:jc w:val="both"/>
      </w:pPr>
      <w:r>
        <w:rPr>
          <w:sz w:val="20"/>
        </w:rPr>
        <w:t xml:space="preserve">при наличии признаков активного саркоидоза внесердечной локализации (в том числе при отсутствии активного процесса при биопсии узла лестничной мышцы);</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 в том числе и с момента верификации диагноза.</w:t>
      </w:r>
    </w:p>
    <w:p>
      <w:pPr>
        <w:pStyle w:val="0"/>
        <w:spacing w:before="200" w:line-rule="auto"/>
        <w:ind w:firstLine="540"/>
        <w:jc w:val="both"/>
      </w:pPr>
      <w:r>
        <w:rPr>
          <w:sz w:val="20"/>
        </w:rPr>
        <w:t xml:space="preserve">72. Выдача медицинского заключения допускается только с применением ограничений OML или OCL обладателям свидетельств, если они минимизировали все корригируемые факторы сердечно-сосудистого риска до приемлемого уровня и регулярно (минимум один раз в 6 месяцев) осматриваются кардиологом, а также в случае потребности получают медикаментозную терапию.</w:t>
      </w:r>
    </w:p>
    <w:p>
      <w:pPr>
        <w:pStyle w:val="0"/>
        <w:jc w:val="both"/>
      </w:pPr>
      <w:r>
        <w:rPr>
          <w:sz w:val="20"/>
        </w:rPr>
      </w:r>
    </w:p>
    <w:p>
      <w:pPr>
        <w:pStyle w:val="2"/>
        <w:outlineLvl w:val="4"/>
        <w:jc w:val="center"/>
      </w:pPr>
      <w:r>
        <w:rPr>
          <w:sz w:val="20"/>
        </w:rPr>
        <w:t xml:space="preserve">Аритмогенная дисплазия правого желудочка (I42.8)</w:t>
      </w:r>
    </w:p>
    <w:p>
      <w:pPr>
        <w:pStyle w:val="0"/>
        <w:jc w:val="both"/>
      </w:pPr>
      <w:r>
        <w:rPr>
          <w:sz w:val="20"/>
        </w:rPr>
      </w:r>
    </w:p>
    <w:p>
      <w:pPr>
        <w:pStyle w:val="0"/>
        <w:ind w:firstLine="540"/>
        <w:jc w:val="both"/>
      </w:pPr>
      <w:r>
        <w:rPr>
          <w:sz w:val="20"/>
        </w:rPr>
        <w:t xml:space="preserve">73. Кандидаты на получение медицинского заключения 1 класса при выявлении изменений на ЭКГ, свидетельствующих о поражении правых отделов сердца (появление эпсилон-зубцов в отведениях V1 - V3, удлинение комплекса QRS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110 мс с инверсией зубца T в отведениях V1 - V2 при отсутствии полной блокады правой ножки пучка Гиса, инверсия зубцов T в отведениях V1 - V4 при наличии полной блокады правой ножки пучка Гиса), подлежат кардиологическому обследованию.</w:t>
      </w:r>
    </w:p>
    <w:p>
      <w:pPr>
        <w:pStyle w:val="0"/>
        <w:spacing w:before="200" w:line-rule="auto"/>
        <w:ind w:firstLine="540"/>
        <w:jc w:val="both"/>
      </w:pPr>
      <w:r>
        <w:rPr>
          <w:sz w:val="20"/>
        </w:rPr>
        <w:t xml:space="preserve">Установление диагноза является причиной отказа в допуске к работе.</w:t>
      </w:r>
    </w:p>
    <w:p>
      <w:pPr>
        <w:pStyle w:val="0"/>
        <w:jc w:val="both"/>
      </w:pPr>
      <w:r>
        <w:rPr>
          <w:sz w:val="20"/>
        </w:rPr>
      </w:r>
    </w:p>
    <w:p>
      <w:pPr>
        <w:pStyle w:val="2"/>
        <w:outlineLvl w:val="4"/>
        <w:jc w:val="center"/>
      </w:pPr>
      <w:r>
        <w:rPr>
          <w:sz w:val="20"/>
        </w:rPr>
        <w:t xml:space="preserve">Синдром спортивного сердца (I42.7)</w:t>
      </w:r>
    </w:p>
    <w:p>
      <w:pPr>
        <w:pStyle w:val="0"/>
        <w:jc w:val="both"/>
      </w:pPr>
      <w:r>
        <w:rPr>
          <w:sz w:val="20"/>
        </w:rPr>
      </w:r>
    </w:p>
    <w:p>
      <w:pPr>
        <w:pStyle w:val="0"/>
        <w:ind w:firstLine="540"/>
        <w:jc w:val="both"/>
      </w:pPr>
      <w:r>
        <w:rPr>
          <w:sz w:val="20"/>
        </w:rPr>
        <w:t xml:space="preserve">74. Выявление при ЭКГ увеличения КДР ЛЖ у мужчин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6,0 см (для женщин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5,3 см) и/или индекса КДР/ППТ для мужчин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3,2 см/м</w:t>
      </w:r>
      <w:r>
        <w:rPr>
          <w:sz w:val="20"/>
          <w:vertAlign w:val="superscript"/>
        </w:rPr>
        <w:t xml:space="preserve">2</w:t>
      </w:r>
      <w:r>
        <w:rPr>
          <w:sz w:val="20"/>
        </w:rPr>
        <w:t xml:space="preserve"> (для женщин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3,3 см/м</w:t>
      </w:r>
      <w:r>
        <w:rPr>
          <w:sz w:val="20"/>
          <w:vertAlign w:val="superscript"/>
        </w:rPr>
        <w:t xml:space="preserve">2</w:t>
      </w:r>
      <w:r>
        <w:rPr>
          <w:sz w:val="20"/>
        </w:rPr>
        <w:t xml:space="preserve">) требует кардиологического обследования и проведения дифференциальной диагностики заболеваний сердца.</w:t>
      </w:r>
    </w:p>
    <w:p>
      <w:pPr>
        <w:pStyle w:val="0"/>
        <w:spacing w:before="200" w:line-rule="auto"/>
        <w:ind w:firstLine="540"/>
        <w:jc w:val="both"/>
      </w:pPr>
      <w:r>
        <w:rPr>
          <w:sz w:val="20"/>
        </w:rPr>
        <w:t xml:space="preserve">75. После постановки диагноза "синдром спортивного сердца" при условии отсутствия значимой структурной патологии сердца кандидаты на получение медицинского заключения 1 класса допускаются к летной работе без ограничений.</w:t>
      </w:r>
    </w:p>
    <w:p>
      <w:pPr>
        <w:pStyle w:val="0"/>
        <w:jc w:val="both"/>
      </w:pPr>
      <w:r>
        <w:rPr>
          <w:sz w:val="20"/>
        </w:rPr>
      </w:r>
    </w:p>
    <w:p>
      <w:pPr>
        <w:pStyle w:val="2"/>
        <w:outlineLvl w:val="3"/>
        <w:jc w:val="center"/>
      </w:pPr>
      <w:r>
        <w:rPr>
          <w:sz w:val="20"/>
        </w:rPr>
        <w:t xml:space="preserve">Врожденные пороки сердца</w:t>
      </w:r>
    </w:p>
    <w:p>
      <w:pPr>
        <w:pStyle w:val="0"/>
        <w:jc w:val="both"/>
      </w:pPr>
      <w:r>
        <w:rPr>
          <w:sz w:val="20"/>
        </w:rPr>
      </w:r>
    </w:p>
    <w:p>
      <w:pPr>
        <w:pStyle w:val="2"/>
        <w:outlineLvl w:val="4"/>
        <w:jc w:val="center"/>
      </w:pPr>
      <w:r>
        <w:rPr>
          <w:sz w:val="20"/>
        </w:rPr>
        <w:t xml:space="preserve">Дефект межпредсердной перегородки (Q21.1)</w:t>
      </w:r>
    </w:p>
    <w:p>
      <w:pPr>
        <w:pStyle w:val="0"/>
        <w:jc w:val="both"/>
      </w:pPr>
      <w:r>
        <w:rPr>
          <w:sz w:val="20"/>
        </w:rPr>
      </w:r>
    </w:p>
    <w:p>
      <w:pPr>
        <w:pStyle w:val="0"/>
        <w:ind w:firstLine="540"/>
        <w:jc w:val="both"/>
      </w:pPr>
      <w:r>
        <w:rPr>
          <w:sz w:val="20"/>
        </w:rPr>
        <w:t xml:space="preserve">76. Кандидаты на получение медицинского заключения 1 класса с выявленными дефектами межпредсердной перегородки подлежат кардиологическому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9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77. Медицинское заключение 1 класса не выдается:</w:t>
      </w:r>
    </w:p>
    <w:p>
      <w:pPr>
        <w:pStyle w:val="0"/>
        <w:spacing w:before="200" w:line-rule="auto"/>
        <w:ind w:firstLine="540"/>
        <w:jc w:val="both"/>
      </w:pPr>
      <w:r>
        <w:rPr>
          <w:sz w:val="20"/>
        </w:rPr>
        <w:t xml:space="preserve">при наличии вторичного дефекта межпредсердной перегородки или открытого овального окна с соотношением максимальных скоростей кровотока в легочной артерии и аорте (соотношение QP/QS)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1,5:1 по данным эхокардиографии;</w:t>
      </w:r>
    </w:p>
    <w:p>
      <w:pPr>
        <w:pStyle w:val="0"/>
        <w:spacing w:before="200" w:line-rule="auto"/>
        <w:ind w:firstLine="540"/>
        <w:jc w:val="both"/>
      </w:pPr>
      <w:r>
        <w:rPr>
          <w:sz w:val="20"/>
        </w:rPr>
        <w:t xml:space="preserve">при наличии первичного дефекта межпредсердной перегородки или дефекта венозного синуса или дефекта коронарного синуса;</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78. При оперативной коррекции вторичного дефекта межпредсердной перегородки или открытого овального окна кандидату на получение медицинского заключения в возрасте до 24 лет, заключение 1 класса выдается без ограничений при условии регулярного (не менее одного раза в год) кардиологического обследования.</w:t>
      </w:r>
    </w:p>
    <w:p>
      <w:pPr>
        <w:pStyle w:val="0"/>
        <w:spacing w:before="200" w:line-rule="auto"/>
        <w:ind w:firstLine="540"/>
        <w:jc w:val="both"/>
      </w:pPr>
      <w:r>
        <w:rPr>
          <w:sz w:val="20"/>
        </w:rPr>
        <w:t xml:space="preserve">При оперативной коррекции вторичного дефекта межпредсердной перегородки или открытого овального окна кандидату на получение медицинского заключения в возрасте после 24 лет при наличии вторичного дефекта межпредсердной перегородки или открытого овального окна с соотношением максимальных скоростей кровотока в легочной артерии и аорте (соотношение QP/QS)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1,5:1 по данным ЭКГ, при оперативной коррекции первичного дефекта межпредсердной перегородки или дефекта венозного синуса или дефекта коронарного синуса возможна выдача медицинского заключения 1 класса с применением ограничений OML или OCL при соблюдении следующих условий:</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фибрилляции предсердий и/или трепетания предсердий при трехкратном суточном мониторировании ЭКГ;</w:t>
      </w:r>
    </w:p>
    <w:p>
      <w:pPr>
        <w:pStyle w:val="0"/>
        <w:spacing w:before="200" w:line-rule="auto"/>
        <w:ind w:firstLine="540"/>
        <w:jc w:val="both"/>
      </w:pPr>
      <w:r>
        <w:rPr>
          <w:sz w:val="20"/>
        </w:rPr>
        <w:t xml:space="preserve">отсутствие при кардиологическом обследовании значимой структурной патологии сердца 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ЭКГ площади струи регургитации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4 см</w:t>
      </w:r>
      <w:r>
        <w:rPr>
          <w:sz w:val="20"/>
          <w:vertAlign w:val="superscript"/>
        </w:rPr>
        <w:t xml:space="preserve">2</w:t>
      </w:r>
      <w:r>
        <w:rPr>
          <w:sz w:val="20"/>
        </w:rPr>
        <w:t xml:space="preserve"> и/или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20% от площади левого предсердия и/или фракции регургитации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30% объема левого предсердия ширина vena constanta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0,3 см при митральной регургитации;</w:t>
      </w:r>
    </w:p>
    <w:p>
      <w:pPr>
        <w:pStyle w:val="0"/>
        <w:spacing w:before="200" w:line-rule="auto"/>
        <w:ind w:firstLine="540"/>
        <w:jc w:val="both"/>
      </w:pPr>
      <w:r>
        <w:rPr>
          <w:sz w:val="20"/>
        </w:rPr>
        <w:t xml:space="preserve">отсутствие жалоб и/или клинических проявлений заболевания;</w:t>
      </w:r>
    </w:p>
    <w:p>
      <w:pPr>
        <w:pStyle w:val="0"/>
        <w:spacing w:before="200" w:line-rule="auto"/>
        <w:ind w:firstLine="540"/>
        <w:jc w:val="both"/>
      </w:pPr>
      <w:r>
        <w:rPr>
          <w:sz w:val="20"/>
        </w:rPr>
        <w:t xml:space="preserve">регулярное (не менее одного раза в год) проведение кардиологического обследования.</w:t>
      </w:r>
    </w:p>
    <w:p>
      <w:pPr>
        <w:pStyle w:val="0"/>
        <w:jc w:val="both"/>
      </w:pPr>
      <w:r>
        <w:rPr>
          <w:sz w:val="20"/>
        </w:rPr>
      </w:r>
    </w:p>
    <w:p>
      <w:pPr>
        <w:pStyle w:val="2"/>
        <w:outlineLvl w:val="4"/>
        <w:jc w:val="center"/>
      </w:pPr>
      <w:r>
        <w:rPr>
          <w:sz w:val="20"/>
        </w:rPr>
        <w:t xml:space="preserve">Дефект межжелудочковой перегородки (Q21.0)</w:t>
      </w:r>
    </w:p>
    <w:p>
      <w:pPr>
        <w:pStyle w:val="0"/>
        <w:jc w:val="both"/>
      </w:pPr>
      <w:r>
        <w:rPr>
          <w:sz w:val="20"/>
        </w:rPr>
      </w:r>
    </w:p>
    <w:p>
      <w:pPr>
        <w:pStyle w:val="0"/>
        <w:ind w:firstLine="540"/>
        <w:jc w:val="both"/>
      </w:pPr>
      <w:r>
        <w:rPr>
          <w:sz w:val="20"/>
        </w:rPr>
        <w:t xml:space="preserve">79. Кандидаты на получение медицинского заключения 1 класса с выявленными дефектами межжелудочковой перегородки подлежат кардиологическому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9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80. Медицинское заключение 1 класса не выдается:</w:t>
      </w:r>
    </w:p>
    <w:p>
      <w:pPr>
        <w:pStyle w:val="0"/>
        <w:spacing w:before="200" w:line-rule="auto"/>
        <w:ind w:firstLine="540"/>
        <w:jc w:val="both"/>
      </w:pPr>
      <w:r>
        <w:rPr>
          <w:sz w:val="20"/>
        </w:rPr>
        <w:t xml:space="preserve">при наличии вторичного дефекта межжелудочковой перегородки с соотношением QP/QS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1,5:1 по данным эхокардиографии без оперативной коррекции;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81. При оперативной коррекции вторичного дефекта межжелудочковой перегородки, наличии дефекта межжелудочковой перегородки с соотношением QP/QS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1,5:1 по данным ЭКГ возможна выдача медицинского заключения 1 класса с применением ограничений OML или OCL при соблюдении следующих условий:</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при кардиологическом обследовании значимой структурной патологии сердца и заболеваний, подразумевающих вынесение решения о негодности;</w:t>
      </w:r>
    </w:p>
    <w:p>
      <w:pPr>
        <w:pStyle w:val="0"/>
        <w:spacing w:before="200" w:line-rule="auto"/>
        <w:ind w:firstLine="540"/>
        <w:jc w:val="both"/>
      </w:pPr>
      <w:r>
        <w:rPr>
          <w:sz w:val="20"/>
        </w:rPr>
        <w:t xml:space="preserve">отсутствие желудочковых аритмий 3 - 5 градаций по B.Lown и M.Wolf в модификации M.Ryan и эпизоды желудочковой тахикардии при суточном мониторировании ЭКГ;</w:t>
      </w:r>
    </w:p>
    <w:p>
      <w:pPr>
        <w:pStyle w:val="0"/>
        <w:spacing w:before="200" w:line-rule="auto"/>
        <w:ind w:firstLine="540"/>
        <w:jc w:val="both"/>
      </w:pPr>
      <w:r>
        <w:rPr>
          <w:sz w:val="20"/>
        </w:rPr>
        <w:t xml:space="preserve">отсутствие жалоб и/или клинических проявлений заболевания;</w:t>
      </w:r>
    </w:p>
    <w:p>
      <w:pPr>
        <w:pStyle w:val="0"/>
        <w:spacing w:before="200" w:line-rule="auto"/>
        <w:ind w:firstLine="540"/>
        <w:jc w:val="both"/>
      </w:pPr>
      <w:r>
        <w:rPr>
          <w:sz w:val="20"/>
        </w:rPr>
        <w:t xml:space="preserve">регулярное (не менее одного раза в год) проведение кардиологического обследования.</w:t>
      </w:r>
    </w:p>
    <w:p>
      <w:pPr>
        <w:pStyle w:val="0"/>
        <w:jc w:val="both"/>
      </w:pPr>
      <w:r>
        <w:rPr>
          <w:sz w:val="20"/>
        </w:rPr>
      </w:r>
    </w:p>
    <w:p>
      <w:pPr>
        <w:pStyle w:val="2"/>
        <w:outlineLvl w:val="4"/>
        <w:jc w:val="center"/>
      </w:pPr>
      <w:r>
        <w:rPr>
          <w:sz w:val="20"/>
        </w:rPr>
        <w:t xml:space="preserve">Артериальная гипертензия и гипотензия (I10 - I15, I95)</w:t>
      </w:r>
    </w:p>
    <w:p>
      <w:pPr>
        <w:pStyle w:val="0"/>
        <w:jc w:val="both"/>
      </w:pPr>
      <w:r>
        <w:rPr>
          <w:sz w:val="20"/>
        </w:rPr>
      </w:r>
    </w:p>
    <w:p>
      <w:pPr>
        <w:pStyle w:val="0"/>
        <w:ind w:firstLine="540"/>
        <w:jc w:val="both"/>
      </w:pPr>
      <w:r>
        <w:rPr>
          <w:sz w:val="20"/>
        </w:rPr>
        <w:t xml:space="preserve">82. Кандидаты на получение медицинского заключения 1 класса с выявленным повышением артериального давления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140/90 мм рт. ст. подлежат кардиологическому обследованию. На время подбора антигипертензивной терапии кандидаты на получение медицинского заключения 1 класса отстраняются от работы. После подбора антигипертензивной терапии допуск к обучению и работе осуществляется по результатам суточного мониторирования артериального давления с величиной среднесуточного артериального давления &lt; 130/80 мм рт. ст. и при отсутствии эпизодов артериальной гипотензии &lt; 90/60 мм рт. ст.</w:t>
      </w:r>
    </w:p>
    <w:p>
      <w:pPr>
        <w:pStyle w:val="0"/>
        <w:spacing w:before="200" w:line-rule="auto"/>
        <w:ind w:firstLine="540"/>
        <w:jc w:val="both"/>
      </w:pPr>
      <w:r>
        <w:rPr>
          <w:sz w:val="20"/>
        </w:rPr>
        <w:t xml:space="preserve">83. Допускается выдача медицинского заключения 1 класса без применения ограничений при стабильном уровне артериального давления &lt; 140/90 мм рт. ст. в том случае, если кандидаты на получение медицинского заключения 1 класса минимизировали все корригируемые факторы сердечно-сосудистого риска до приемлемого уровня и в случае необходимости получают медикаментозную терапию.</w:t>
      </w:r>
    </w:p>
    <w:p>
      <w:pPr>
        <w:pStyle w:val="0"/>
        <w:spacing w:before="200" w:line-rule="auto"/>
        <w:ind w:firstLine="540"/>
        <w:jc w:val="both"/>
      </w:pPr>
      <w:r>
        <w:rPr>
          <w:sz w:val="20"/>
        </w:rPr>
        <w:t xml:space="preserve">84. При наличии сахарного диабета или микроальбуминурии целевые значения артериального давления не должны превышать 130/80 мм рт. ст.</w:t>
      </w:r>
    </w:p>
    <w:p>
      <w:pPr>
        <w:pStyle w:val="0"/>
        <w:spacing w:before="200" w:line-rule="auto"/>
        <w:ind w:firstLine="540"/>
        <w:jc w:val="both"/>
      </w:pPr>
      <w:r>
        <w:rPr>
          <w:sz w:val="20"/>
        </w:rPr>
        <w:t xml:space="preserve">85. Медицинское заключение 1 класса не выдается:</w:t>
      </w:r>
    </w:p>
    <w:p>
      <w:pPr>
        <w:pStyle w:val="0"/>
        <w:spacing w:before="200" w:line-rule="auto"/>
        <w:ind w:firstLine="540"/>
        <w:jc w:val="both"/>
      </w:pPr>
      <w:r>
        <w:rPr>
          <w:sz w:val="20"/>
        </w:rPr>
        <w:t xml:space="preserve">при вторичной артериальной гипертензии без лечения основного заболевания;</w:t>
      </w:r>
    </w:p>
    <w:p>
      <w:pPr>
        <w:pStyle w:val="0"/>
        <w:spacing w:before="200" w:line-rule="auto"/>
        <w:ind w:firstLine="540"/>
        <w:jc w:val="both"/>
      </w:pPr>
      <w:r>
        <w:rPr>
          <w:sz w:val="20"/>
        </w:rPr>
        <w:t xml:space="preserve">при стойком повышении уровня артериального давления у обладателей свидетельств, превышающем 160/95 мм рт. ст.</w:t>
      </w:r>
    </w:p>
    <w:p>
      <w:pPr>
        <w:pStyle w:val="0"/>
        <w:spacing w:before="200" w:line-rule="auto"/>
        <w:ind w:firstLine="540"/>
        <w:jc w:val="both"/>
      </w:pPr>
      <w:r>
        <w:rPr>
          <w:sz w:val="20"/>
        </w:rPr>
        <w:t xml:space="preserve">86. Обладатели свидетельств с артериальной гипертензией подлежат ежегодному кардиологическому обследованию.</w:t>
      </w:r>
    </w:p>
    <w:p>
      <w:pPr>
        <w:pStyle w:val="0"/>
        <w:spacing w:before="200" w:line-rule="auto"/>
        <w:ind w:firstLine="540"/>
        <w:jc w:val="both"/>
      </w:pPr>
      <w:r>
        <w:rPr>
          <w:sz w:val="20"/>
        </w:rPr>
        <w:t xml:space="preserve">87. Кандидаты на получение медицинского заключения 1 класса с артериальной гипотензией &lt; 90 мм рт. ст., сопровождающейся клинической симптоматикой, признаются не годными к обучению и работе.</w:t>
      </w:r>
    </w:p>
    <w:p>
      <w:pPr>
        <w:pStyle w:val="0"/>
        <w:jc w:val="both"/>
      </w:pPr>
      <w:r>
        <w:rPr>
          <w:sz w:val="20"/>
        </w:rPr>
      </w:r>
    </w:p>
    <w:p>
      <w:pPr>
        <w:pStyle w:val="2"/>
        <w:outlineLvl w:val="2"/>
        <w:jc w:val="center"/>
      </w:pPr>
      <w:r>
        <w:rPr>
          <w:sz w:val="20"/>
        </w:rPr>
        <w:t xml:space="preserve">II. Периферические артерии и венозная система (I70 - I89)</w:t>
      </w:r>
    </w:p>
    <w:p>
      <w:pPr>
        <w:pStyle w:val="0"/>
        <w:jc w:val="both"/>
      </w:pPr>
      <w:r>
        <w:rPr>
          <w:sz w:val="20"/>
        </w:rPr>
      </w:r>
    </w:p>
    <w:p>
      <w:pPr>
        <w:pStyle w:val="0"/>
        <w:ind w:firstLine="540"/>
        <w:jc w:val="both"/>
      </w:pPr>
      <w:r>
        <w:rPr>
          <w:sz w:val="20"/>
        </w:rPr>
        <w:t xml:space="preserve">88. При облитерирующих заболеваниях артерий при наличии болевого синдрома, трофических расстройств выносится заключение о негодности к обучению и работе (I70).</w:t>
      </w:r>
    </w:p>
    <w:p>
      <w:pPr>
        <w:pStyle w:val="0"/>
        <w:spacing w:before="200" w:line-rule="auto"/>
        <w:ind w:firstLine="540"/>
        <w:jc w:val="both"/>
      </w:pPr>
      <w:r>
        <w:rPr>
          <w:sz w:val="20"/>
        </w:rPr>
        <w:t xml:space="preserve">89. Наличие аневризмы артериального сосуда, тромба в артерии или вене, атеросклеротической бляшки, препятствующей достаточному кровообращению в компетенции соответствующего бассейна, является основанием для определения негодности к обучению и работе. Диагностированная артериальная аневризма (I72) на фоне имеющихся клинических проявлений или аневризматическое расширение с диаметром более 5 см является основанием для определения негодности. После проведенного хирургического лечения при благоприятном исходе возможна аттестация на медицинское заключение 1 класса не ранее чем через 1 месяц в зависимости от локализации аневризмы и примененной технологии вмешательства. Аневризма аорты (I71) является основанием для отказа в выдаче медицинского заключения 1 класса.</w:t>
      </w:r>
    </w:p>
    <w:p>
      <w:pPr>
        <w:pStyle w:val="0"/>
        <w:spacing w:before="200" w:line-rule="auto"/>
        <w:ind w:firstLine="540"/>
        <w:jc w:val="both"/>
      </w:pPr>
      <w:r>
        <w:rPr>
          <w:sz w:val="20"/>
        </w:rPr>
        <w:t xml:space="preserve">90. При варикозном расширении вен (I83) с признаками трофических расстройств, декомпенсации кровообращения выносится заключение о негодности к обучению и работе. Сроки восстановления на летную работу зависят от вида хирургического пособия, но не менее 3 недель. Решение о годности после вмешательства принимается совместно с ангиохирургом, при необходимости - по результатам дополнительного контрольного обследования.</w:t>
      </w:r>
    </w:p>
    <w:p>
      <w:pPr>
        <w:pStyle w:val="0"/>
        <w:spacing w:before="200" w:line-rule="auto"/>
        <w:ind w:firstLine="540"/>
        <w:jc w:val="both"/>
      </w:pPr>
      <w:r>
        <w:rPr>
          <w:sz w:val="20"/>
        </w:rPr>
        <w:t xml:space="preserve">91. После перенесенного тромбоза в поверхностных и глубоких венах (I80) конечностей вопрос о допуске к обучению и работе решается через 2 недели после отмены антикоагулянтной терапии при отсутствии тромботических масс в вене по данным ультразвукового исследования и не менее чем через 3 недели после хирургического лечения. Решение о необходимости хирургического лечения принимается на основании данных инструментального обследования, клинической картины, заключения ангиохирурга. При посттромбофлебитической болезни выносится заключение о негодности (I87.0).</w:t>
      </w:r>
    </w:p>
    <w:p>
      <w:pPr>
        <w:pStyle w:val="0"/>
        <w:jc w:val="both"/>
      </w:pPr>
      <w:r>
        <w:rPr>
          <w:sz w:val="20"/>
        </w:rPr>
      </w:r>
    </w:p>
    <w:p>
      <w:pPr>
        <w:pStyle w:val="2"/>
        <w:outlineLvl w:val="2"/>
        <w:jc w:val="center"/>
      </w:pPr>
      <w:r>
        <w:rPr>
          <w:sz w:val="20"/>
        </w:rPr>
        <w:t xml:space="preserve">III. Система органов дыхания (J00 - J99)</w:t>
      </w:r>
    </w:p>
    <w:p>
      <w:pPr>
        <w:pStyle w:val="0"/>
        <w:jc w:val="both"/>
      </w:pPr>
      <w:r>
        <w:rPr>
          <w:sz w:val="20"/>
        </w:rPr>
      </w:r>
    </w:p>
    <w:p>
      <w:pPr>
        <w:pStyle w:val="0"/>
        <w:ind w:firstLine="540"/>
        <w:jc w:val="both"/>
      </w:pPr>
      <w:r>
        <w:rPr>
          <w:sz w:val="20"/>
        </w:rPr>
        <w:t xml:space="preserve">92. В случае если кандидаты на получение медицинского заключения не имеют функциональных или структурных органических заболеваний дыхательной системы, которые могут помешать безопасному выполнению полномочий,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93. Кандидаты на получение медицинского заключения со значительным нарушением функции легких признаются не годными к обучению и работе. Признание годности проводится после восстановления функции легких при их удовлетворительном состоянии по результатам исследований. При этом ОФВ1, ЖЕЛ должны быть в пределах нормы.</w:t>
      </w:r>
    </w:p>
    <w:p>
      <w:pPr>
        <w:pStyle w:val="0"/>
        <w:spacing w:before="200" w:line-rule="auto"/>
        <w:ind w:firstLine="540"/>
        <w:jc w:val="both"/>
      </w:pPr>
      <w:r>
        <w:rPr>
          <w:sz w:val="20"/>
        </w:rPr>
        <w:t xml:space="preserve">94. Болезни органов дыхания с выраженным нарушением функций и/или склонные к обострениям - бронхиальная астма (J45), бронхоэктатическая болезнь (J47), активный саркоидоз (D86), хроническая обструктивная болезнь легких (ХОБЛ) (J44), интерстициальные заболевания легких (J84) с выраженным нарушением функции внешнего дыхания, синдром обструктивного апноэ сна (G47.3), крупное оперативное вмешательство на органах грудной клетки, пульмонэктомия (Z98.8) являются основанием для вынесения заключения о негодности к обучению и работе.</w:t>
      </w:r>
    </w:p>
    <w:p>
      <w:pPr>
        <w:pStyle w:val="0"/>
        <w:spacing w:before="200" w:line-rule="auto"/>
        <w:ind w:firstLine="540"/>
        <w:jc w:val="both"/>
      </w:pPr>
      <w:r>
        <w:rPr>
          <w:sz w:val="20"/>
        </w:rPr>
        <w:t xml:space="preserve">95. Лица, перенесшие спонтанный пневмоторакс (Z93), подлежат восстановлению на работу не ранее чем через 6 недель после выздоровления от одного спонтанного пневмоторакса при условии, что при обследовании не выявлены причины для его повторного возникновения, или выздоровления после хирургического вмешательства в случае рецидивирования пневмоторакса. Повторный пневмоторакс без хирургического лечения восстановление на работу исключает.</w:t>
      </w:r>
    </w:p>
    <w:p>
      <w:pPr>
        <w:pStyle w:val="0"/>
        <w:spacing w:before="200" w:line-rule="auto"/>
        <w:ind w:firstLine="540"/>
        <w:jc w:val="both"/>
      </w:pPr>
      <w:r>
        <w:rPr>
          <w:sz w:val="20"/>
        </w:rPr>
        <w:t xml:space="preserve">96. Кандидаты на получение медицинского заключения с ХОБЛ в стадии ремиссии и с сохранением функции дыхания допускаются к работе без ограничений. При умеренных нарушениях функции дыхания с ОФВ1, ЖЕЛ не менее 70% применяется ограничение TML с расширенным обследованием дыхательной и сердечно-сосудистой систем при каждом возобновлении или продлении медицинского заключения.</w:t>
      </w:r>
    </w:p>
    <w:p>
      <w:pPr>
        <w:pStyle w:val="0"/>
        <w:spacing w:before="200" w:line-rule="auto"/>
        <w:ind w:firstLine="540"/>
        <w:jc w:val="both"/>
      </w:pPr>
      <w:r>
        <w:rPr>
          <w:sz w:val="20"/>
        </w:rPr>
        <w:t xml:space="preserve">97. При проникающем ранении грудной клетки, при наличии в грудной стенке или в легочной ткани инородных тел, отдаленных от крупных сосудов сердца, не дающих клинических проявлений, при хорошей функции внешнего дыхания возможно определение годности.</w:t>
      </w:r>
    </w:p>
    <w:p>
      <w:pPr>
        <w:pStyle w:val="0"/>
        <w:spacing w:before="200" w:line-rule="auto"/>
        <w:ind w:firstLine="540"/>
        <w:jc w:val="both"/>
      </w:pPr>
      <w:r>
        <w:rPr>
          <w:sz w:val="20"/>
        </w:rPr>
        <w:t xml:space="preserve">98. Кандидаты на получение медицинского заключения с активными формами туберкулеза (А15) органов дыхания или с выраженными остаточными изменениями признаются не годными к обучению и работе.</w:t>
      </w:r>
    </w:p>
    <w:p>
      <w:pPr>
        <w:pStyle w:val="0"/>
        <w:spacing w:before="200" w:line-rule="auto"/>
        <w:ind w:firstLine="540"/>
        <w:jc w:val="both"/>
      </w:pPr>
      <w:r>
        <w:rPr>
          <w:sz w:val="20"/>
        </w:rPr>
        <w:t xml:space="preserve">99. Кандидаты на получение медицинского заключения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апикальные или плевральные наслоения) без смещения органов средостения с умеренным нарушением функции внешнего дыхания допускаются к работе не ранее чем через 6 месяцев с обязательным обследованием легочной и сердечно-сосудистой систем.</w:t>
      </w:r>
    </w:p>
    <w:p>
      <w:pPr>
        <w:pStyle w:val="0"/>
        <w:spacing w:before="200" w:line-rule="auto"/>
        <w:ind w:firstLine="540"/>
        <w:jc w:val="both"/>
      </w:pPr>
      <w:r>
        <w:rPr>
          <w:sz w:val="20"/>
        </w:rPr>
        <w:t xml:space="preserve">100. При восстановлении на работу кандидат на получение медицинского заключения после закрытия листка нетрудоспособности представляет заключение противотуберкулезного диспансера с разрешением допуска к работе.</w:t>
      </w:r>
    </w:p>
    <w:p>
      <w:pPr>
        <w:pStyle w:val="0"/>
        <w:spacing w:before="200" w:line-rule="auto"/>
        <w:ind w:firstLine="540"/>
        <w:jc w:val="both"/>
      </w:pPr>
      <w:r>
        <w:rPr>
          <w:sz w:val="20"/>
        </w:rPr>
        <w:t xml:space="preserve">101. После операции по поводу заболеваний органов грудной полости и средостения, пороков развития, патологии грудной клетки и диафрагмы кандидаты на получение медицинского заключения признаются годными к работе после контрольного обследования при достаточном восстановлении дыхательной функции при индексе Тиффно не менее 60%.</w:t>
      </w:r>
    </w:p>
    <w:p>
      <w:pPr>
        <w:pStyle w:val="0"/>
        <w:spacing w:before="200" w:line-rule="auto"/>
        <w:ind w:firstLine="540"/>
        <w:jc w:val="both"/>
      </w:pPr>
      <w:r>
        <w:rPr>
          <w:sz w:val="20"/>
        </w:rPr>
        <w:t xml:space="preserve">102.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 к обучению и работе.</w:t>
      </w:r>
    </w:p>
    <w:p>
      <w:pPr>
        <w:pStyle w:val="0"/>
        <w:spacing w:before="200" w:line-rule="auto"/>
        <w:ind w:firstLine="540"/>
        <w:jc w:val="both"/>
      </w:pPr>
      <w:r>
        <w:rPr>
          <w:sz w:val="20"/>
        </w:rPr>
        <w:t xml:space="preserve">103. Кандидаты на получение медицинского заключения с активным саркоидозом (D86) признаются не годными к обучению и работе. Восстановление на работу возможно не ранее чем через 6 месяцев после заболевания при полной ремиссии заболевания, отмене медикаментозной терапии с сохранением функции дыхания.</w:t>
      </w:r>
    </w:p>
    <w:p>
      <w:pPr>
        <w:pStyle w:val="0"/>
        <w:spacing w:before="200" w:line-rule="auto"/>
        <w:ind w:firstLine="540"/>
        <w:jc w:val="both"/>
      </w:pPr>
      <w:r>
        <w:rPr>
          <w:sz w:val="20"/>
        </w:rPr>
        <w:t xml:space="preserve">Кандидаты на получение медицинского заключения, поступающие на обучение в учебные заведения ГА, с любой формой саркоидоза признаются не годными к обучению.</w:t>
      </w:r>
    </w:p>
    <w:p>
      <w:pPr>
        <w:pStyle w:val="0"/>
        <w:jc w:val="both"/>
      </w:pPr>
      <w:r>
        <w:rPr>
          <w:sz w:val="20"/>
        </w:rPr>
      </w:r>
    </w:p>
    <w:p>
      <w:pPr>
        <w:pStyle w:val="2"/>
        <w:outlineLvl w:val="2"/>
        <w:jc w:val="center"/>
      </w:pPr>
      <w:r>
        <w:rPr>
          <w:sz w:val="20"/>
        </w:rPr>
        <w:t xml:space="preserve">IV. Пищеварительная система (K00 - K93)</w:t>
      </w:r>
    </w:p>
    <w:p>
      <w:pPr>
        <w:pStyle w:val="0"/>
        <w:jc w:val="both"/>
      </w:pPr>
      <w:r>
        <w:rPr>
          <w:sz w:val="20"/>
        </w:rPr>
      </w:r>
    </w:p>
    <w:p>
      <w:pPr>
        <w:pStyle w:val="0"/>
        <w:ind w:firstLine="540"/>
        <w:jc w:val="both"/>
      </w:pPr>
      <w:r>
        <w:rPr>
          <w:sz w:val="20"/>
        </w:rPr>
        <w:t xml:space="preserve">104. В случае если кандидаты на получение медицинского заключения не имеют функциональных или структурных органических заболеваний желудочно-кишечного тракта, препятствующих безопасному выполнению полномочий,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105. Какие-либо функциональные или структурные органические заболевания пищеварительной системы, препятствующие безопасному выполнению полномочий, предусмотренных соответствующим свидетельством, являются причиной вынесения заключения о негодности к обучению и работе. Кандидаты на получение медицинского заключения с какими-либо последствиями заболеваний или хирургического вмешательства на органах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 годные к обучению и работе.</w:t>
      </w:r>
    </w:p>
    <w:p>
      <w:pPr>
        <w:pStyle w:val="0"/>
        <w:spacing w:before="200" w:line-rule="auto"/>
        <w:ind w:firstLine="540"/>
        <w:jc w:val="both"/>
      </w:pPr>
      <w:r>
        <w:rPr>
          <w:sz w:val="20"/>
        </w:rPr>
        <w:t xml:space="preserve">106. Кандидаты на получение медицинского заключения с патологиями желудочно-кишечного тракта (рецидивирующие диспепсические расстройства (K58), требующие медикаментозного лечения; гепатиты в активной стадии (K73); цирроз печени (K74.3 - K74.6); симптомная желчнокаменная болезнь или бессимптомная с небольшими многочисленными камнями (K80); острое или хроническое воспалительное заболевание кишечника (K50 - K52);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(K91) рассматриваются как не годные к работе.</w:t>
      </w:r>
    </w:p>
    <w:p>
      <w:pPr>
        <w:pStyle w:val="0"/>
        <w:spacing w:before="200" w:line-rule="auto"/>
        <w:ind w:firstLine="540"/>
        <w:jc w:val="both"/>
      </w:pPr>
      <w:r>
        <w:rPr>
          <w:sz w:val="20"/>
        </w:rPr>
        <w:t xml:space="preserve">107. Вопрос о годности к работе рассматривается после успешно проведенного лечения или полного выздоровления кандидата на получение медицинского заключения после перенесенного хирургического вмешательства и по удовлетворительным результатам расширенного гастроэнтерологического обследования.</w:t>
      </w:r>
    </w:p>
    <w:p>
      <w:pPr>
        <w:pStyle w:val="0"/>
        <w:spacing w:before="200" w:line-rule="auto"/>
        <w:ind w:firstLine="540"/>
        <w:jc w:val="both"/>
      </w:pPr>
      <w:r>
        <w:rPr>
          <w:sz w:val="20"/>
        </w:rPr>
        <w:t xml:space="preserve">108. При варикозном расширении вен пищевода (I85), независимо от этиологии и клинических проявлений заболевания, кандидаты на получение медицинского заключения признаются не годными к работе без права восстановления.</w:t>
      </w:r>
    </w:p>
    <w:p>
      <w:pPr>
        <w:pStyle w:val="0"/>
        <w:spacing w:before="200" w:line-rule="auto"/>
        <w:ind w:firstLine="540"/>
        <w:jc w:val="both"/>
      </w:pPr>
      <w:r>
        <w:rPr>
          <w:sz w:val="20"/>
        </w:rPr>
        <w:t xml:space="preserve">109. При осложнениях язвенной болезни (рецидивы, кровотечение, перфорация, пенетрации) (K25.0 - K25.6) проводится лечение с последующим эндоскопическим контролем заживления язвы. При подтвержденном "закрытии" язвенного дефекта, при отсутствии необходимости продолжения медикаментозной терапии и наблюдении в течение не менее 8 недель выдается медицинское заключение с ограничением TML сроком на 6 месяцев на протяжении 3 лет и с ежеквартальным индивидуальным наблюдением с контролем уровня гемоглобина.</w:t>
      </w:r>
    </w:p>
    <w:p>
      <w:pPr>
        <w:pStyle w:val="0"/>
        <w:spacing w:before="200" w:line-rule="auto"/>
        <w:ind w:firstLine="540"/>
        <w:jc w:val="both"/>
      </w:pPr>
      <w:r>
        <w:rPr>
          <w:sz w:val="20"/>
        </w:rPr>
        <w:t xml:space="preserve">110. Медицинское заключение при хронических диффузных заболеваниях печени зависит от клинической формы, стадии и активности процесса. Допуск к работе проводится после расширенного обследования при условии стойкой ремиссии и сохранности функций органа. При выявлении носительства вируса гепатитов B и C (Z22) без признаков заболевания (отсутствие синдрома цитолиза) кандидаты на получение медицинского заключения допускаются к работе без ограничения. Кандидаты на получение медицинского заключения с доброкачественной функциональной билирубинемией после обследования признаются годными к работе и обучению.</w:t>
      </w:r>
    </w:p>
    <w:p>
      <w:pPr>
        <w:pStyle w:val="0"/>
        <w:spacing w:before="200" w:line-rule="auto"/>
        <w:ind w:firstLine="540"/>
        <w:jc w:val="both"/>
      </w:pPr>
      <w:r>
        <w:rPr>
          <w:sz w:val="20"/>
        </w:rPr>
        <w:t xml:space="preserve">111. Острые гепатиты (K72), хронические гепатиты с высокой и средней степенью активности (K73) (любой этиологии), острые панкреатиты (K85), острые холециститы (K81), хронические панкреатиты (K86.1) и хронические холециститы (K81.1) в стадии обострения, проводимое противовирусное лечение (интерфероны) обусловливают негодность к работе и обучению. При гепатите С допуск к работе рассматривается через 3 - 6 месяцев после лечения по достижении стадии стойкой полной ремиссии по результатам гастроэнтерологического и иммунологического обследования. Допуск абитуриентов к обучению проводится при полной ремиссии в течение последних 3 лет.</w:t>
      </w:r>
    </w:p>
    <w:p>
      <w:pPr>
        <w:pStyle w:val="0"/>
        <w:spacing w:before="200" w:line-rule="auto"/>
        <w:ind w:firstLine="540"/>
        <w:jc w:val="both"/>
      </w:pPr>
      <w:r>
        <w:rPr>
          <w:sz w:val="20"/>
        </w:rPr>
        <w:t xml:space="preserve">112. При установлении диагноза цирроза печени (K74.3 - K74.6) принимается решение о негодности к обучению и работе.</w:t>
      </w:r>
    </w:p>
    <w:p>
      <w:pPr>
        <w:pStyle w:val="0"/>
        <w:spacing w:before="200" w:line-rule="auto"/>
        <w:ind w:firstLine="540"/>
        <w:jc w:val="both"/>
      </w:pPr>
      <w:r>
        <w:rPr>
          <w:sz w:val="20"/>
        </w:rPr>
        <w:t xml:space="preserve">113. При холецистолитиазе с бессимптомным одиночным крупным камнем рекомендуется проведение мероприятий по его удалению в плановом порядке, выдается заключение с ограничением OML.</w:t>
      </w:r>
    </w:p>
    <w:p>
      <w:pPr>
        <w:pStyle w:val="0"/>
        <w:spacing w:before="200" w:line-rule="auto"/>
        <w:ind w:firstLine="540"/>
        <w:jc w:val="both"/>
      </w:pPr>
      <w:r>
        <w:rPr>
          <w:sz w:val="20"/>
        </w:rPr>
        <w:t xml:space="preserve">114. Кандидаты на получение медицинского заключения с хроническим воспалительным заболеванием кишечника (K63) признаются годными к обучению и работе с ограничением TML на протяжении 3 лет, если болезнь находится в установившейся ремиссии, состояние является стабильным и нет необходимости применения стероидов системного действия.</w:t>
      </w:r>
    </w:p>
    <w:p>
      <w:pPr>
        <w:pStyle w:val="0"/>
        <w:spacing w:before="200" w:line-rule="auto"/>
        <w:ind w:firstLine="540"/>
        <w:jc w:val="both"/>
      </w:pPr>
      <w:r>
        <w:rPr>
          <w:sz w:val="20"/>
        </w:rPr>
        <w:t xml:space="preserve">115. Кандидаты на получение медицинского заключения с язвенным колитом (K51) и болезнью Крона (K50) признаются негодными.</w:t>
      </w:r>
    </w:p>
    <w:p>
      <w:pPr>
        <w:pStyle w:val="0"/>
        <w:spacing w:before="200" w:line-rule="auto"/>
        <w:ind w:firstLine="540"/>
        <w:jc w:val="both"/>
      </w:pPr>
      <w:r>
        <w:rPr>
          <w:sz w:val="20"/>
        </w:rPr>
        <w:t xml:space="preserve">116. При спаечной болезни с выраженными клиническими проявлениями кандидаты на получение медицинского заключения признаются не годными к обучению и работе. Долихосигма (Q43.8) без клинических проявлений не является основанием для решения о негодности к обучению и работе.</w:t>
      </w:r>
    </w:p>
    <w:p>
      <w:pPr>
        <w:pStyle w:val="0"/>
        <w:spacing w:before="200" w:line-rule="auto"/>
        <w:ind w:firstLine="540"/>
        <w:jc w:val="both"/>
      </w:pPr>
      <w:r>
        <w:rPr>
          <w:sz w:val="20"/>
        </w:rPr>
        <w:t xml:space="preserve">117. Кандидаты на получение медицинского заключения при наличии у них послеоперационных рубцов на брюшной стенке представляют документы о характере перенесенной операции.</w:t>
      </w:r>
    </w:p>
    <w:p>
      <w:pPr>
        <w:pStyle w:val="0"/>
        <w:spacing w:before="200" w:line-rule="auto"/>
        <w:ind w:firstLine="540"/>
        <w:jc w:val="both"/>
      </w:pPr>
      <w:r>
        <w:rPr>
          <w:sz w:val="20"/>
        </w:rPr>
        <w:t xml:space="preserve">118. Диагностированная грыжа (K40 - K46), мешающая безопасно выполнять профессиональные обязанности, является основанием для вынесения решения о негодности к обучению и работе.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 В данном случае выдается заключение с ограничением OML.</w:t>
      </w:r>
    </w:p>
    <w:p>
      <w:pPr>
        <w:pStyle w:val="0"/>
        <w:jc w:val="both"/>
      </w:pPr>
      <w:r>
        <w:rPr>
          <w:sz w:val="20"/>
        </w:rPr>
        <w:t xml:space="preserve">(в ред. </w:t>
      </w:r>
      <w:hyperlink w:history="0" r:id="rId9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119. Кандидаты на получение медицинского заключения с заболеваниями прямой кишки и параректальной клетчатки (K60 - K63)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 годными к обучению и работе.</w:t>
      </w:r>
    </w:p>
    <w:p>
      <w:pPr>
        <w:pStyle w:val="0"/>
        <w:spacing w:before="200" w:line-rule="auto"/>
        <w:ind w:firstLine="540"/>
        <w:jc w:val="both"/>
      </w:pPr>
      <w:r>
        <w:rPr>
          <w:sz w:val="20"/>
        </w:rPr>
        <w:t xml:space="preserve">120. При благоприятных результатах терапевтического и хирургического лечения и восстановлении функции прямой кишки вопрос о годности к обучению и работе рассматривается после выздоровления.</w:t>
      </w:r>
    </w:p>
    <w:p>
      <w:pPr>
        <w:pStyle w:val="0"/>
        <w:jc w:val="both"/>
      </w:pPr>
      <w:r>
        <w:rPr>
          <w:sz w:val="20"/>
        </w:rPr>
      </w:r>
    </w:p>
    <w:p>
      <w:pPr>
        <w:pStyle w:val="2"/>
        <w:outlineLvl w:val="2"/>
        <w:jc w:val="center"/>
      </w:pPr>
      <w:r>
        <w:rPr>
          <w:sz w:val="20"/>
        </w:rPr>
        <w:t xml:space="preserve">V. Метаболические нарушения и эндокринная система</w:t>
      </w:r>
    </w:p>
    <w:p>
      <w:pPr>
        <w:pStyle w:val="2"/>
        <w:jc w:val="center"/>
      </w:pPr>
      <w:r>
        <w:rPr>
          <w:sz w:val="20"/>
        </w:rPr>
        <w:t xml:space="preserve">(E00 - E90)</w:t>
      </w:r>
    </w:p>
    <w:p>
      <w:pPr>
        <w:pStyle w:val="0"/>
        <w:jc w:val="both"/>
      </w:pPr>
      <w:r>
        <w:rPr>
          <w:sz w:val="20"/>
        </w:rPr>
      </w:r>
    </w:p>
    <w:p>
      <w:pPr>
        <w:pStyle w:val="0"/>
        <w:ind w:firstLine="540"/>
        <w:jc w:val="both"/>
      </w:pPr>
      <w:r>
        <w:rPr>
          <w:sz w:val="20"/>
        </w:rPr>
        <w:t xml:space="preserve">121. В случае если кандидаты на получение медицинского заключения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соответствующего свидетельства, они признаются годными к обучению и работе.</w:t>
      </w:r>
    </w:p>
    <w:p>
      <w:pPr>
        <w:pStyle w:val="0"/>
        <w:spacing w:before="200" w:line-rule="auto"/>
        <w:ind w:firstLine="540"/>
        <w:jc w:val="both"/>
      </w:pPr>
      <w:r>
        <w:rPr>
          <w:sz w:val="20"/>
        </w:rPr>
        <w:t xml:space="preserve">122. Кандидаты на получение медицинского заключения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p>
      <w:pPr>
        <w:pStyle w:val="0"/>
        <w:spacing w:before="200" w:line-rule="auto"/>
        <w:ind w:firstLine="540"/>
        <w:jc w:val="both"/>
      </w:pPr>
      <w:r>
        <w:rPr>
          <w:sz w:val="20"/>
        </w:rPr>
        <w:t xml:space="preserve">123. Кандидаты на получение медицинского заключения с выраженными формами болезней эндокринной системы признаются не годными к обучению и работе, в том числе с сахарным диабетом 1 типа (инсулинозависимый) (E10). Кандидаты на получение медицинского заключения с инсулиннезависимым сахарным диабетом 2 типа (E11) оцениваются как не годные к обучению и работе, если не достигается полного контроля содержания сахара в крови и требуется постоянный прием гипогликемических лекарственных препаратов и инсулина. Допуск к работе с ограничением OML осуществляется при полной компенсации углеводного обмена без применения лекарственных препаратов, вызывающих гипогликемию.</w:t>
      </w:r>
    </w:p>
    <w:p>
      <w:pPr>
        <w:pStyle w:val="0"/>
        <w:spacing w:before="200" w:line-rule="auto"/>
        <w:ind w:firstLine="540"/>
        <w:jc w:val="both"/>
      </w:pPr>
      <w:r>
        <w:rPr>
          <w:sz w:val="20"/>
        </w:rPr>
        <w:t xml:space="preserve">124. При впервые выявленной форме СД 2 типа (E11) обладатель медицинского заключения подлежит медицинскому обследованию в стационарных условиях медицинской организации, находящейся в ведении уполномоченного органа, с целью исключения таких осложнений, как ангиопатии коронарных артерий, церебральных и периферических сосудов, сосудов почек, сетчатки, развитие катаракты (диабетические макро- и микроангиопатии), диабетическая полинейропатия, с последующим медицинским освидетельствованием в ЦВЛЭК ГА после наблюдения и лечения до двух месяцев.</w:t>
      </w:r>
    </w:p>
    <w:p>
      <w:pPr>
        <w:pStyle w:val="0"/>
        <w:jc w:val="both"/>
      </w:pPr>
      <w:r>
        <w:rPr>
          <w:sz w:val="20"/>
        </w:rPr>
        <w:t xml:space="preserve">(п. 124 в ред. </w:t>
      </w:r>
      <w:hyperlink w:history="0" r:id="rId9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125. При выявлении гипогликемии (E16.2), почечной глюкозурии (E74.8) кандидаты на получение медицинского заключения подлежат расширенному обследованию.</w:t>
      </w:r>
    </w:p>
    <w:p>
      <w:pPr>
        <w:pStyle w:val="0"/>
        <w:spacing w:before="200" w:line-rule="auto"/>
        <w:ind w:firstLine="540"/>
        <w:jc w:val="both"/>
      </w:pPr>
      <w:r>
        <w:rPr>
          <w:sz w:val="20"/>
        </w:rPr>
        <w:t xml:space="preserve">126. Диффузное эутиреоидное увеличение щитовидной железы 1 степени, нарушение толерантности к углеводам не дают оснований для установления диагноза.</w:t>
      </w:r>
    </w:p>
    <w:p>
      <w:pPr>
        <w:pStyle w:val="0"/>
        <w:spacing w:before="200" w:line-rule="auto"/>
        <w:ind w:firstLine="540"/>
        <w:jc w:val="both"/>
      </w:pPr>
      <w:r>
        <w:rPr>
          <w:sz w:val="20"/>
        </w:rPr>
        <w:t xml:space="preserve">127. Решение о допуске к работе кандидата на получение медицинского заключения при нарушениях функции щитовидной железы принимается после лечения не менее 3 месяцев по достижении стойкого эутиреоидного состояния с ежегодным контролем гормонов щитовидной железы: при тиреотоксикозе (E05) - без применения медикаментозных средств во время работы; при гипотиреозе (E03) - с регулярным приемом подобранной дозы препарата.</w:t>
      </w:r>
    </w:p>
    <w:p>
      <w:pPr>
        <w:pStyle w:val="0"/>
        <w:spacing w:before="200" w:line-rule="auto"/>
        <w:ind w:firstLine="540"/>
        <w:jc w:val="both"/>
      </w:pPr>
      <w:r>
        <w:rPr>
          <w:sz w:val="20"/>
        </w:rPr>
        <w:t xml:space="preserve">128. Лицам с избыточной массой тела проводится обследование для установления характера экзогенно-конституционального ожирения (E66). Степень ожирения устанавливается согласно оценке веса тела по величине индекса массы тела (ИМТ) по Кетле. ИМТ рассчитывается по формуле: вес в кг/рост в м</w:t>
      </w:r>
      <w:r>
        <w:rPr>
          <w:sz w:val="20"/>
          <w:vertAlign w:val="superscript"/>
        </w:rPr>
        <w:t xml:space="preserve">2</w:t>
      </w:r>
      <w:r>
        <w:rPr>
          <w:sz w:val="20"/>
        </w:rPr>
        <w:t xml:space="preserve">. Нормальный вес соответствует ИМТ 20,0 - 25,9; избыточная масса тела - ИМТ 26,0 - 29,9; ожирение 1 степени - ИМТ 30,0 - 34,9; ожирение 2 степени - ИМТ &gt; 35,0.</w:t>
      </w:r>
    </w:p>
    <w:p>
      <w:pPr>
        <w:pStyle w:val="0"/>
        <w:spacing w:before="200" w:line-rule="auto"/>
        <w:ind w:firstLine="540"/>
        <w:jc w:val="both"/>
      </w:pPr>
      <w:r>
        <w:rPr>
          <w:sz w:val="20"/>
        </w:rPr>
        <w:t xml:space="preserve">129. Кандидаты на получение медицинского заключения с ИМТ &gt; 35,0 признаются годными к обучению и работе при условии, что избыток веса не будет препятствовать безопасному осуществлению ими обязанностей, предусмотренных соответствующим свидетельством, и при удовлетворительных результатах по оценке рисков развития метаболического синдрома. Решение о допуске к работе принимает ЦВЛЭК ГА после обследования в эндокринологическом отделении медицинской организации, находящейся в ведении уполномоченного органа.</w:t>
      </w:r>
    </w:p>
    <w:p>
      <w:pPr>
        <w:pStyle w:val="0"/>
        <w:jc w:val="both"/>
      </w:pPr>
      <w:r>
        <w:rPr>
          <w:sz w:val="20"/>
        </w:rPr>
        <w:t xml:space="preserve">(в ред. </w:t>
      </w:r>
      <w:hyperlink w:history="0" r:id="rId9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130. При симптоматическом (вторичном) ожирении эндокринного, церебрального генеза оценка годности проводится по основному заболеванию.</w:t>
      </w:r>
    </w:p>
    <w:p>
      <w:pPr>
        <w:pStyle w:val="0"/>
        <w:jc w:val="both"/>
      </w:pPr>
      <w:r>
        <w:rPr>
          <w:sz w:val="20"/>
        </w:rPr>
      </w:r>
    </w:p>
    <w:p>
      <w:pPr>
        <w:pStyle w:val="2"/>
        <w:outlineLvl w:val="2"/>
        <w:jc w:val="center"/>
      </w:pPr>
      <w:r>
        <w:rPr>
          <w:sz w:val="20"/>
        </w:rPr>
        <w:t xml:space="preserve">VI. Гематология (D45 - D47, D50 - D89, E75.2, E80.0, E80.2,</w:t>
      </w:r>
    </w:p>
    <w:p>
      <w:pPr>
        <w:pStyle w:val="2"/>
        <w:jc w:val="center"/>
      </w:pPr>
      <w:r>
        <w:rPr>
          <w:sz w:val="20"/>
        </w:rPr>
        <w:t xml:space="preserve">E83.0, E83.1, M31.1, C81 - C96)</w:t>
      </w:r>
    </w:p>
    <w:p>
      <w:pPr>
        <w:pStyle w:val="0"/>
        <w:jc w:val="both"/>
      </w:pPr>
      <w:r>
        <w:rPr>
          <w:sz w:val="20"/>
        </w:rPr>
      </w:r>
    </w:p>
    <w:p>
      <w:pPr>
        <w:pStyle w:val="0"/>
        <w:ind w:firstLine="540"/>
        <w:jc w:val="both"/>
      </w:pPr>
      <w:r>
        <w:rPr>
          <w:sz w:val="20"/>
        </w:rPr>
        <w:t xml:space="preserve">131. В случае если кандидаты на получение медицинского заключения не имеют гематологических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132. Оценка годности к обучению и работе кандидатов на получение медицинского заключения проводится после расширенного обследования и консультации врача-гематолога при наличии у них гематологических синдромов, таких как:</w:t>
      </w:r>
    </w:p>
    <w:p>
      <w:pPr>
        <w:pStyle w:val="0"/>
        <w:spacing w:before="200" w:line-rule="auto"/>
        <w:ind w:firstLine="540"/>
        <w:jc w:val="both"/>
      </w:pPr>
      <w:r>
        <w:rPr>
          <w:sz w:val="20"/>
        </w:rPr>
        <w:t xml:space="preserve">анемический синдром (концентрация гемоглобина менее 120 г/л у женщин и менее 130 г/л - у мужчин), при D50 - D59;</w:t>
      </w:r>
    </w:p>
    <w:p>
      <w:pPr>
        <w:pStyle w:val="0"/>
        <w:jc w:val="both"/>
      </w:pPr>
      <w:r>
        <w:rPr>
          <w:sz w:val="20"/>
        </w:rPr>
        <w:t xml:space="preserve">(в ред. </w:t>
      </w:r>
      <w:hyperlink w:history="0" r:id="rId9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нарушения свертываемости крови (наследственные и приобретенные дефициты факторов свертывания крови D66 - D68);</w:t>
      </w:r>
    </w:p>
    <w:p>
      <w:pPr>
        <w:pStyle w:val="0"/>
        <w:spacing w:before="200" w:line-rule="auto"/>
        <w:ind w:firstLine="540"/>
        <w:jc w:val="both"/>
      </w:pPr>
      <w:r>
        <w:rPr>
          <w:sz w:val="20"/>
        </w:rPr>
        <w:t xml:space="preserve">гиперкоагуляционный синдром (наследственные и приобретенные тромбофилии - D68.8);</w:t>
      </w:r>
    </w:p>
    <w:p>
      <w:pPr>
        <w:pStyle w:val="0"/>
        <w:spacing w:before="200" w:line-rule="auto"/>
        <w:ind w:firstLine="540"/>
        <w:jc w:val="both"/>
      </w:pPr>
      <w:r>
        <w:rPr>
          <w:sz w:val="20"/>
        </w:rPr>
        <w:t xml:space="preserve">пурпура и другие геморрагические состояния (вторичные тромбоцитопении и идиопатическая тромбоцитопеническая пурпура - D69) - количество тромбоцитов менее 100 x 9/л;</w:t>
      </w:r>
    </w:p>
    <w:p>
      <w:pPr>
        <w:pStyle w:val="0"/>
        <w:spacing w:before="200" w:line-rule="auto"/>
        <w:ind w:firstLine="540"/>
        <w:jc w:val="both"/>
      </w:pPr>
      <w:r>
        <w:rPr>
          <w:sz w:val="20"/>
        </w:rPr>
        <w:t xml:space="preserve">агранулоцитоз (с показателями нейтрофильных лейкоцитов крови 0,5 x 10*9/л и ниже - D70);</w:t>
      </w:r>
    </w:p>
    <w:p>
      <w:pPr>
        <w:pStyle w:val="0"/>
        <w:spacing w:before="200" w:line-rule="auto"/>
        <w:ind w:firstLine="540"/>
        <w:jc w:val="both"/>
      </w:pPr>
      <w:r>
        <w:rPr>
          <w:sz w:val="20"/>
        </w:rPr>
        <w:t xml:space="preserve">новообразования неопределенного и неизвестного характера полицитемии - D45;</w:t>
      </w:r>
    </w:p>
    <w:p>
      <w:pPr>
        <w:pStyle w:val="0"/>
        <w:spacing w:before="200" w:line-rule="auto"/>
        <w:ind w:firstLine="540"/>
        <w:jc w:val="both"/>
      </w:pPr>
      <w:r>
        <w:rPr>
          <w:sz w:val="20"/>
        </w:rPr>
        <w:t xml:space="preserve">впервые выявленные лимфаденопатия и гепатоспленомегалия.</w:t>
      </w:r>
    </w:p>
    <w:p>
      <w:pPr>
        <w:pStyle w:val="0"/>
        <w:spacing w:before="200" w:line-rule="auto"/>
        <w:ind w:firstLine="540"/>
        <w:jc w:val="both"/>
      </w:pPr>
      <w:r>
        <w:rPr>
          <w:sz w:val="20"/>
        </w:rPr>
        <w:t xml:space="preserve">133. При этом годность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p>
      <w:pPr>
        <w:pStyle w:val="0"/>
        <w:spacing w:before="200" w:line-rule="auto"/>
        <w:ind w:firstLine="540"/>
        <w:jc w:val="both"/>
      </w:pPr>
      <w:r>
        <w:rPr>
          <w:sz w:val="20"/>
        </w:rPr>
        <w:t xml:space="preserve">134. При наличии у кандидатов на получение медицинского заключения злокачественных новообразований лимфоидной, кроветворной и родственных им тканей (C81 - C96), некомпенсированных тяжелой степенью анемии (D60, D61, D46), тяжелой степенью нарушения свертывания крови (D66 - D68), тяжелой степенью пурпура и других геморрагических состояний (D69), признаются не годными к обучению и работе. Системные заболевания крови являются основанием для принятия решения о негодности к обучению.</w:t>
      </w:r>
    </w:p>
    <w:p>
      <w:pPr>
        <w:pStyle w:val="0"/>
        <w:spacing w:before="200" w:line-rule="auto"/>
        <w:ind w:firstLine="540"/>
        <w:jc w:val="both"/>
      </w:pPr>
      <w:r>
        <w:rPr>
          <w:sz w:val="20"/>
        </w:rPr>
        <w:t xml:space="preserve">135. При новообразованиях лимфоидной, кроветворной и родственных им тканей (C81 - C96) после завершения лечения и достижения полной ремиссии без проявления побочных эффектов лечения (кардиотоксичность, нейротоксичность) при полной и стабильной компенсации функций организма, имеющих значение для безопасности полетов, выносится решение о допуске к работе с ограничением OML/TML.</w:t>
      </w:r>
    </w:p>
    <w:p>
      <w:pPr>
        <w:pStyle w:val="0"/>
        <w:spacing w:before="200" w:line-rule="auto"/>
        <w:ind w:firstLine="540"/>
        <w:jc w:val="both"/>
      </w:pPr>
      <w:r>
        <w:rPr>
          <w:sz w:val="20"/>
        </w:rPr>
        <w:t xml:space="preserve">136. При наличии заболеваний с высоким риском тромбоэмболических осложнений и инсультов (первичный эритроцитоз (D75), эритремия (D45, C92.7), тромбофилия (D68.8), тромботическая микроангиопатия (M31.1) определяется негодность к работе (обучению).</w:t>
      </w:r>
    </w:p>
    <w:p>
      <w:pPr>
        <w:pStyle w:val="0"/>
        <w:jc w:val="both"/>
      </w:pPr>
      <w:r>
        <w:rPr>
          <w:sz w:val="20"/>
        </w:rPr>
      </w:r>
    </w:p>
    <w:p>
      <w:pPr>
        <w:pStyle w:val="2"/>
        <w:outlineLvl w:val="2"/>
        <w:jc w:val="center"/>
      </w:pPr>
      <w:r>
        <w:rPr>
          <w:sz w:val="20"/>
        </w:rPr>
        <w:t xml:space="preserve">VII. Мочеполовая система (N00 - N99)</w:t>
      </w:r>
    </w:p>
    <w:p>
      <w:pPr>
        <w:pStyle w:val="0"/>
        <w:jc w:val="both"/>
      </w:pPr>
      <w:r>
        <w:rPr>
          <w:sz w:val="20"/>
        </w:rPr>
      </w:r>
    </w:p>
    <w:p>
      <w:pPr>
        <w:pStyle w:val="0"/>
        <w:ind w:firstLine="540"/>
        <w:jc w:val="both"/>
      </w:pPr>
      <w:r>
        <w:rPr>
          <w:sz w:val="20"/>
        </w:rPr>
        <w:t xml:space="preserve">137. В случае если кандидаты на получение медицинского заключения не имеют функциональной или органической патологии мочеполовой системы, препятствующей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138.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сопровождающиеся нарушением функций, болевым синдромом, являются основаниями для определения негодности к обучению и работе (N25 - N39).</w:t>
      </w:r>
    </w:p>
    <w:p>
      <w:pPr>
        <w:pStyle w:val="0"/>
        <w:spacing w:before="200" w:line-rule="auto"/>
        <w:ind w:firstLine="540"/>
        <w:jc w:val="both"/>
      </w:pPr>
      <w:r>
        <w:rPr>
          <w:sz w:val="20"/>
        </w:rPr>
        <w:t xml:space="preserve">139. Вопрос о восстановлении на работу после оперативного вмешательства на органах мочеполовой системы рассматривается не ранее чем через месяц после операции в зависимости от ее объема и технологии. Лица, перенесшие операцию удаления яичка (при брюшной задержке, низведении яичка, эктопии), при умеренном расширении вен семенного канатика (без выраженного конгломерата вен, значительного их увеличения при напряжении брюшного пресса), при головчатой форме гипоспадии признаются годными к обучению и работе. Заключение о годности после оперативного лечения водянки яичка, расширения вен семенного канатика, крипторхизма с низведением яичка возможно не ранее чем через 3 недели после операции в зависимости от ее вида и использованной технологии хирургического вмешательства.</w:t>
      </w:r>
    </w:p>
    <w:p>
      <w:pPr>
        <w:pStyle w:val="0"/>
        <w:spacing w:before="200" w:line-rule="auto"/>
        <w:ind w:firstLine="540"/>
        <w:jc w:val="both"/>
      </w:pPr>
      <w:r>
        <w:rPr>
          <w:sz w:val="20"/>
        </w:rPr>
        <w:t xml:space="preserve">140.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(A18.1), пиелонефрит (N11.0), цистит (N30), уретрит (N4), простатит (N41) в фазе активного воспаления определяют негодность к работе. Годность к работе оценивается в фазе стойкой ремиссии при отсутствии нарушения функций и нормализации показателей лабораторных и инструментальных исследований.</w:t>
      </w:r>
    </w:p>
    <w:p>
      <w:pPr>
        <w:pStyle w:val="0"/>
        <w:spacing w:before="200" w:line-rule="auto"/>
        <w:ind w:firstLine="540"/>
        <w:jc w:val="both"/>
      </w:pPr>
      <w:r>
        <w:rPr>
          <w:sz w:val="20"/>
        </w:rPr>
        <w:t xml:space="preserve">141. Острый гломерулонефрит (N00 - N08) требует лечения в течение 3 - 6 месяцев.</w:t>
      </w:r>
    </w:p>
    <w:p>
      <w:pPr>
        <w:pStyle w:val="0"/>
        <w:spacing w:before="200" w:line-rule="auto"/>
        <w:ind w:firstLine="540"/>
        <w:jc w:val="both"/>
      </w:pPr>
      <w:r>
        <w:rPr>
          <w:sz w:val="20"/>
        </w:rPr>
        <w:t xml:space="preserve">142. Оценка годности кандидата на получение медицинского заключения 1 класса к работе при диагностированном хроническом гломерулонефрите (N11) и после перенесенного острого гломерулонефрита (N00 - N008) проводится с учетом выраженности симптоматики после медицинского обследования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(п. 142 в ред. </w:t>
      </w:r>
      <w:hyperlink w:history="0" r:id="rId9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143. Кандидаты на получение медицинского заключения признаются не годными к обучению и работе при наличии плохо контролируемой артериальной гипертензии, протеинурии, достигающей 2 - 3 г/л, появлении отчетливых признаков почечной недостаточности (креатинин крови 150 - 200 мкмоль/л и более, белок в моче 3 г/л и более).</w:t>
      </w:r>
    </w:p>
    <w:p>
      <w:pPr>
        <w:pStyle w:val="0"/>
        <w:spacing w:before="200" w:line-rule="auto"/>
        <w:ind w:firstLine="540"/>
        <w:jc w:val="both"/>
      </w:pPr>
      <w:r>
        <w:rPr>
          <w:sz w:val="20"/>
        </w:rPr>
        <w:t xml:space="preserve">144. Допуск к работе выдается на укороченный срок (TML/OML) с контрольными осмотрами, измерением артериального давления, ежеквартальными анализами мочи и крови на креатинин в межкомиссионном периоде.</w:t>
      </w:r>
    </w:p>
    <w:p>
      <w:pPr>
        <w:pStyle w:val="0"/>
        <w:spacing w:before="200" w:line-rule="auto"/>
        <w:ind w:firstLine="540"/>
        <w:jc w:val="both"/>
      </w:pPr>
      <w:r>
        <w:rPr>
          <w:sz w:val="20"/>
        </w:rPr>
        <w:t xml:space="preserve">145. Кандидаты на получение медицинского заключения с острым пиелонефритом подлежат лечению. Допуск к работе после перенесенного острого пиелонефрита осуществляется после проведения дополнительных исследований с обязательным проведением УЗИ почек, мочевого пузыря, определения креатинина в крови и моче, степени протеинурии.</w:t>
      </w:r>
    </w:p>
    <w:p>
      <w:pPr>
        <w:pStyle w:val="0"/>
        <w:spacing w:before="200" w:line-rule="auto"/>
        <w:ind w:firstLine="540"/>
        <w:jc w:val="both"/>
      </w:pPr>
      <w:r>
        <w:rPr>
          <w:sz w:val="20"/>
        </w:rPr>
        <w:t xml:space="preserve">146. При хроническом пиелонефрите кандидаты на получение медицинского заключения признаются годными к работе при наличии нормальных показателей анализов крови, отсутствии выраженной протеинурии, лейкоцитурии, регулярном врачебном контроле с проведением анализов крови и мочи каждые 3 месяца. Повышение артериального давления до 160/95 мм рт. ст. вне периодов обострения расценивается как дополнительный неблагоприятный синдром. При этом кандидаты на получение медицинского заключения признаются не годными к работе.</w:t>
      </w:r>
    </w:p>
    <w:p>
      <w:pPr>
        <w:pStyle w:val="0"/>
        <w:spacing w:before="200" w:line-rule="auto"/>
        <w:ind w:firstLine="540"/>
        <w:jc w:val="both"/>
      </w:pPr>
      <w:r>
        <w:rPr>
          <w:sz w:val="20"/>
        </w:rPr>
        <w:t xml:space="preserve">147. Годность к работе оценивается в фазе стойкой ремиссии неспецифического воспаления при отсутствии нарушения функций и нормализации показателей лабораторных и инструментальных исследований.</w:t>
      </w:r>
    </w:p>
    <w:p>
      <w:pPr>
        <w:pStyle w:val="0"/>
        <w:spacing w:before="200" w:line-rule="auto"/>
        <w:ind w:firstLine="540"/>
        <w:jc w:val="both"/>
      </w:pPr>
      <w:r>
        <w:rPr>
          <w:sz w:val="20"/>
        </w:rPr>
        <w:t xml:space="preserve">148. После лечения (консервативного, оперативного) туберкулеза мочеполовых органов допуск к работе (обучению) осуществляется при полном клиническом излечении и наличии заключения из противотуберкулезного диспансера о разрешенном допуске к работе.</w:t>
      </w:r>
    </w:p>
    <w:p>
      <w:pPr>
        <w:pStyle w:val="0"/>
        <w:spacing w:before="200" w:line-rule="auto"/>
        <w:ind w:firstLine="540"/>
        <w:jc w:val="both"/>
      </w:pPr>
      <w:r>
        <w:rPr>
          <w:sz w:val="20"/>
        </w:rPr>
        <w:t xml:space="preserve">149. Кандидаты на получение медицинского заключения, имеющие единственную почку врожденной или приобретенной этиологии, оцениваются по результатам расширенного урологического обследования в зависимости от состояния функции единственной почки.</w:t>
      </w:r>
    </w:p>
    <w:p>
      <w:pPr>
        <w:pStyle w:val="0"/>
        <w:spacing w:before="200" w:line-rule="auto"/>
        <w:ind w:firstLine="540"/>
        <w:jc w:val="both"/>
      </w:pPr>
      <w:r>
        <w:rPr>
          <w:sz w:val="20"/>
        </w:rPr>
        <w:t xml:space="preserve">150. В случае когда поражение почек носит вторичный характер, освидетельствование проводится с учетом основного заболевания.</w:t>
      </w:r>
    </w:p>
    <w:p>
      <w:pPr>
        <w:pStyle w:val="0"/>
        <w:spacing w:before="200" w:line-rule="auto"/>
        <w:ind w:firstLine="540"/>
        <w:jc w:val="both"/>
      </w:pPr>
      <w:r>
        <w:rPr>
          <w:sz w:val="20"/>
        </w:rPr>
        <w:t xml:space="preserve">151. После лечения по поводу однократного отхождения камня, почечной колики без отхождения камней, повторных приступов почечной колики кандидаты на получение медицинского заключения признаются годными к работе после прохождения внеочередного медицинского освидетельствования при нормальных лабораторных и инструментальных показателях функций почек с ограничением OML в течение 3 лет.</w:t>
      </w:r>
    </w:p>
    <w:p>
      <w:pPr>
        <w:pStyle w:val="0"/>
        <w:spacing w:before="200" w:line-rule="auto"/>
        <w:ind w:firstLine="540"/>
        <w:jc w:val="both"/>
      </w:pPr>
      <w:r>
        <w:rPr>
          <w:sz w:val="20"/>
        </w:rPr>
        <w:t xml:space="preserve">152. При наличии конкрементов в мочевых путях (N20 - N23) выносится заключение о негодности к обучению и работе с рекомендацией оперативного либо консервативного лечения. По окончании хирургического лечения (в том числе после экстракорпоральной литотрипсии) допуск к работе возможен не ранее чем через месяц после вмешательства в зависимости от доступа и вида перенесенной операции при нормальных лабораторных и инструментальных показателях функций почек по результатам контрольного обследования.</w:t>
      </w:r>
    </w:p>
    <w:p>
      <w:pPr>
        <w:pStyle w:val="0"/>
        <w:spacing w:before="200" w:line-rule="auto"/>
        <w:ind w:firstLine="540"/>
        <w:jc w:val="both"/>
      </w:pPr>
      <w:r>
        <w:rPr>
          <w:sz w:val="20"/>
        </w:rPr>
        <w:t xml:space="preserve">153. Вопрос об удалении доброкачественных опухолей половых органов решается после консультации гинеколога (уролога). При аденоме предстательной железы без дизурических расстройств, если по заключению уролога не показано оперативное лечение, кандидаты на получение медицинского заключения признаются годными к обучению и работе.</w:t>
      </w:r>
    </w:p>
    <w:p>
      <w:pPr>
        <w:pStyle w:val="0"/>
        <w:spacing w:before="200" w:line-rule="auto"/>
        <w:ind w:firstLine="540"/>
        <w:jc w:val="both"/>
      </w:pPr>
      <w:r>
        <w:rPr>
          <w:sz w:val="20"/>
        </w:rPr>
        <w:t xml:space="preserve">154. При аденоме предстательной железы (N40), если она осложнилась острой задержкой мочеиспускания, освидетельствование проводится после проведенного оперативного вмешательства при условии, что функция мочевыделительной системы полностью восстановлена.</w:t>
      </w:r>
    </w:p>
    <w:p>
      <w:pPr>
        <w:pStyle w:val="0"/>
        <w:jc w:val="both"/>
      </w:pPr>
      <w:r>
        <w:rPr>
          <w:sz w:val="20"/>
        </w:rPr>
        <w:t xml:space="preserve">(в ред. </w:t>
      </w:r>
      <w:hyperlink w:history="0" r:id="rId9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2"/>
        <w:jc w:val="center"/>
      </w:pPr>
      <w:r>
        <w:rPr>
          <w:sz w:val="20"/>
        </w:rPr>
        <w:t xml:space="preserve">VIII. Инфекционные заболевания (A00 - B99)</w:t>
      </w:r>
    </w:p>
    <w:p>
      <w:pPr>
        <w:pStyle w:val="0"/>
        <w:jc w:val="both"/>
      </w:pPr>
      <w:r>
        <w:rPr>
          <w:sz w:val="20"/>
        </w:rPr>
      </w:r>
    </w:p>
    <w:p>
      <w:pPr>
        <w:pStyle w:val="0"/>
        <w:ind w:firstLine="540"/>
        <w:jc w:val="both"/>
      </w:pPr>
      <w:r>
        <w:rPr>
          <w:sz w:val="20"/>
        </w:rPr>
        <w:t xml:space="preserve">155. В случае если кандидаты на получение медицинского заключения не имеют клинических диагнозов каких-либо инфекционных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156. Признание годности ВИЧ-положительных (B20 - B24) кандидатов на получение медицинского заключения с ограничением OML/TML рассматривается для отдельных лиц со стабильной, непрогрессирующей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Международной организацией гражданской авиации (ИКАО) препаратами. Установление заболевания СПИД и СПИД-ассоциированного комплекса является основанием для дисквалификации.</w:t>
      </w:r>
    </w:p>
    <w:p>
      <w:pPr>
        <w:pStyle w:val="0"/>
        <w:jc w:val="both"/>
      </w:pPr>
      <w:r>
        <w:rPr>
          <w:sz w:val="20"/>
        </w:rPr>
        <w:t xml:space="preserve">(в ред. </w:t>
      </w:r>
      <w:hyperlink w:history="0" r:id="rId9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157. При выявлении или подозрении у кандидата на получение медицинского заключения инфекций, передающихся преимущественно половым путем (A50 - Aб64), заразных кожных заболеваний, в том числе микозов (B35), чесотки (B86), подтверждение диагноза и лечение проводятся в специализированном кожно-венерологическом учреждении. Вопрос о годности к работе рассматривается после лечения заболеваний в острой стадии в кожно-венерологическом диспансере с учетом заключения врача-дерматовенеролога. Абитуриенты, страдающие лепрой (AЗ0), признаются не годными к обучению и работе.</w:t>
      </w:r>
    </w:p>
    <w:p>
      <w:pPr>
        <w:pStyle w:val="0"/>
        <w:spacing w:before="200" w:line-rule="auto"/>
        <w:ind w:firstLine="540"/>
        <w:jc w:val="both"/>
      </w:pPr>
      <w:r>
        <w:rPr>
          <w:sz w:val="20"/>
        </w:rPr>
        <w:t xml:space="preserve">158. Хронические инфекционные и паразитарные болезни, выявленные у кандидата на получение медицинского заключения, оцениваются по степени нарушения функций органов и систем организма. При этих заболеваниях, сопровождающихся нарушением функций органов, общей астенизацией, выносится решение о негодности к обучению и работе.</w:t>
      </w:r>
    </w:p>
    <w:p>
      <w:pPr>
        <w:pStyle w:val="0"/>
        <w:spacing w:before="200" w:line-rule="auto"/>
        <w:ind w:firstLine="540"/>
        <w:jc w:val="both"/>
      </w:pPr>
      <w:r>
        <w:rPr>
          <w:sz w:val="20"/>
        </w:rPr>
        <w:t xml:space="preserve">159. Кандидаты на получение медицинского заключения с хронической стадией описторхоза (B66) допускаются к выполнению профессиональных обязанностей, однако они находятся под наблюдением врача инфекциониста до снятия с учета.</w:t>
      </w:r>
    </w:p>
    <w:p>
      <w:pPr>
        <w:pStyle w:val="0"/>
        <w:spacing w:before="200" w:line-rule="auto"/>
        <w:ind w:firstLine="540"/>
        <w:jc w:val="both"/>
      </w:pPr>
      <w:r>
        <w:rPr>
          <w:sz w:val="20"/>
        </w:rPr>
        <w:t xml:space="preserve">160. Кандидаты на получение медицинского заключения, перенесшие инфекционный гепатит (B15 - B19), геморрагическую лихорадку (A98 - A99), отстраняются от работы на 3 - 6 месяцев. Восстановление на работу возможно после полного восстановления функций органов и систем организма по результатам обследования.</w:t>
      </w:r>
    </w:p>
    <w:p>
      <w:pPr>
        <w:pStyle w:val="0"/>
        <w:spacing w:before="200" w:line-rule="auto"/>
        <w:ind w:firstLine="540"/>
        <w:jc w:val="both"/>
      </w:pPr>
      <w:r>
        <w:rPr>
          <w:sz w:val="20"/>
        </w:rPr>
        <w:t xml:space="preserve">161. Кандидаты на получение медицинского заключения допускаются к авиационно-химическим работам не ранее чем через 12 месяцев после лечения.</w:t>
      </w:r>
    </w:p>
    <w:p>
      <w:pPr>
        <w:pStyle w:val="0"/>
        <w:jc w:val="both"/>
      </w:pPr>
      <w:r>
        <w:rPr>
          <w:sz w:val="20"/>
        </w:rPr>
      </w:r>
    </w:p>
    <w:p>
      <w:pPr>
        <w:pStyle w:val="2"/>
        <w:outlineLvl w:val="2"/>
        <w:jc w:val="center"/>
      </w:pPr>
      <w:r>
        <w:rPr>
          <w:sz w:val="20"/>
        </w:rPr>
        <w:t xml:space="preserve">IX. Акушерство и гинекология (N70 - N77) (N80 - N98)</w:t>
      </w:r>
    </w:p>
    <w:p>
      <w:pPr>
        <w:pStyle w:val="2"/>
        <w:jc w:val="center"/>
      </w:pPr>
      <w:r>
        <w:rPr>
          <w:sz w:val="20"/>
        </w:rPr>
        <w:t xml:space="preserve">(O00 - O99)</w:t>
      </w:r>
    </w:p>
    <w:p>
      <w:pPr>
        <w:pStyle w:val="0"/>
        <w:jc w:val="both"/>
      </w:pPr>
      <w:r>
        <w:rPr>
          <w:sz w:val="20"/>
        </w:rPr>
      </w:r>
    </w:p>
    <w:p>
      <w:pPr>
        <w:pStyle w:val="0"/>
        <w:ind w:firstLine="540"/>
        <w:jc w:val="both"/>
      </w:pPr>
      <w:r>
        <w:rPr>
          <w:sz w:val="20"/>
        </w:rPr>
        <w:t xml:space="preserve">162. В случае если кандидаты на получение медицинского заключения не имеют функциональных или структурных гинекологических заболеваний, препятствующих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163. Пороки развития женских половых органов с функциональными нарушениями (N94) (метроррагия, боли); эндометриоз (N80); симптомная миома матки (D25); хронические заболевания женской половой сферы с частыми обострениями (более 3 раз в год); выпадение и опущение половых органов 3 степени (N81); мочеполовые и кишечно-половые свищи (N82); разрывы промежности (O70) с нарушением функции сфинктера заднего прохода являются основанием для заключения о негодности к работе (обучению).</w:t>
      </w:r>
    </w:p>
    <w:p>
      <w:pPr>
        <w:pStyle w:val="0"/>
        <w:spacing w:before="200" w:line-rule="auto"/>
        <w:ind w:firstLine="540"/>
        <w:jc w:val="both"/>
      </w:pPr>
      <w:r>
        <w:rPr>
          <w:sz w:val="20"/>
        </w:rPr>
        <w:t xml:space="preserve">164. Лечение острого периода патологии шейки матки (N86 - N88) (эрозия, эндоцервицит, эрозированный эктропион, дисплазии)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заключения после хирургического лечения заболеваний женской половой сферы рассматривается при лапароскопической операции через 4 - 6 недель после операции, при лапаротомном доступе (без осложнений) - через 2 месяца после операции.</w:t>
      </w:r>
    </w:p>
    <w:p>
      <w:pPr>
        <w:pStyle w:val="0"/>
        <w:spacing w:before="200" w:line-rule="auto"/>
        <w:ind w:firstLine="540"/>
        <w:jc w:val="both"/>
      </w:pPr>
      <w:r>
        <w:rPr>
          <w:sz w:val="20"/>
        </w:rPr>
        <w:t xml:space="preserve">165. Бессимптомная миома матки, эндометриоз, эндометриоидная и фолликуллярная кисты (N83) размером не более 5 см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основаниями для дисквалификации.</w:t>
      </w:r>
    </w:p>
    <w:p>
      <w:pPr>
        <w:pStyle w:val="0"/>
        <w:spacing w:before="200" w:line-rule="auto"/>
        <w:ind w:firstLine="540"/>
        <w:jc w:val="both"/>
      </w:pPr>
      <w:r>
        <w:rPr>
          <w:sz w:val="20"/>
        </w:rPr>
        <w:t xml:space="preserve">166. Обладатели медицинского заключения с расстройствами овариально-менструального цикла подлежат обследованию и лечению без отстранения от работы.</w:t>
      </w:r>
    </w:p>
    <w:p>
      <w:pPr>
        <w:pStyle w:val="0"/>
        <w:spacing w:before="200" w:line-rule="auto"/>
        <w:ind w:firstLine="540"/>
        <w:jc w:val="both"/>
      </w:pPr>
      <w:r>
        <w:rPr>
          <w:sz w:val="20"/>
        </w:rPr>
        <w:t xml:space="preserve">167. С момента установления беременности (Z33) авиационный персонал признается не годным к летной работе.</w:t>
      </w:r>
    </w:p>
    <w:p>
      <w:pPr>
        <w:pStyle w:val="0"/>
        <w:spacing w:before="200" w:line-rule="auto"/>
        <w:ind w:firstLine="540"/>
        <w:jc w:val="both"/>
      </w:pPr>
      <w:r>
        <w:rPr>
          <w:sz w:val="20"/>
        </w:rPr>
        <w:t xml:space="preserve">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p>
      <w:pPr>
        <w:pStyle w:val="0"/>
        <w:jc w:val="both"/>
      </w:pPr>
      <w:r>
        <w:rPr>
          <w:sz w:val="20"/>
        </w:rPr>
      </w:r>
    </w:p>
    <w:p>
      <w:pPr>
        <w:pStyle w:val="2"/>
        <w:outlineLvl w:val="2"/>
        <w:jc w:val="center"/>
      </w:pPr>
      <w:r>
        <w:rPr>
          <w:sz w:val="20"/>
        </w:rPr>
        <w:t xml:space="preserve">X. Опорно-двигательный аппарат (M00 - M99)</w:t>
      </w:r>
    </w:p>
    <w:p>
      <w:pPr>
        <w:pStyle w:val="0"/>
        <w:jc w:val="both"/>
      </w:pPr>
      <w:r>
        <w:rPr>
          <w:sz w:val="20"/>
        </w:rPr>
      </w:r>
    </w:p>
    <w:p>
      <w:pPr>
        <w:pStyle w:val="0"/>
        <w:ind w:firstLine="540"/>
        <w:jc w:val="both"/>
      </w:pPr>
      <w:r>
        <w:rPr>
          <w:sz w:val="20"/>
        </w:rPr>
        <w:t xml:space="preserve">168. В случае если кандидаты на получение медицинского заключения не имеют нарушений костно-мышечного аппарата как врожденных, так и приобретенных, препятствующих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169. Физическое развитие кандидата на получение медицинского заключения и соответствие массы тела росту рассчитывается по ИМТ по Кетле при пропорциональном развитии тела. При оценке физического развития обучающихся учитывается возраст (в период интенсивного развития организма масса тела может отставать от роста), дефицит массы тела менее 25% не расценивается как проявление недостаточного физического развития. Пороки развития, хронические болезни костей, суставов, хрящей, мышц и сухожилий, последствия травм и операций, рубцы после ожогов и обморожений у кандидата на получение медицинского заключения оцениваются в зависимости от степени прогрессирования и имеющихся функциональных нарушений. Прогрессирующие, сопровождающиеся нарушением функций в значительной степени, болевым синдромом, мешающие ношению одежды, обуви состояния являются основаниями для признания негодности.</w:t>
      </w:r>
    </w:p>
    <w:p>
      <w:pPr>
        <w:pStyle w:val="0"/>
        <w:spacing w:before="200" w:line-rule="auto"/>
        <w:ind w:firstLine="540"/>
        <w:jc w:val="both"/>
      </w:pPr>
      <w:r>
        <w:rPr>
          <w:sz w:val="20"/>
        </w:rPr>
        <w:t xml:space="preserve">170. При дегенеративно-дистрофических процессах в костях позвоночника (M42) (межпозвонковый остеохондроз, спондилоартроз), последствиях травм и операций, рубцах после ожогов (T30) и обморожений с незначительным или умеренным ограничением функций без болевого синдрома, непрогрессирующих, не мешающих ношению одежды и обуви, заключение о годности к работе выносится с оценкой функции и объема движений в суставах без ограничения или с ограничением OAL. Кандидаты на получение медицинского заключения для обучения на пилота при наличии вышеуказанных состояний признаются не годными к обучению.</w:t>
      </w:r>
    </w:p>
    <w:p>
      <w:pPr>
        <w:pStyle w:val="0"/>
        <w:spacing w:before="200" w:line-rule="auto"/>
        <w:ind w:firstLine="540"/>
        <w:jc w:val="both"/>
      </w:pPr>
      <w:r>
        <w:rPr>
          <w:sz w:val="20"/>
        </w:rPr>
        <w:t xml:space="preserve">171. При инфантилизме (R62) вопрос о годности к обучению решается после консультации эндокринолога.</w:t>
      </w:r>
    </w:p>
    <w:p>
      <w:pPr>
        <w:pStyle w:val="0"/>
        <w:spacing w:before="200" w:line-rule="auto"/>
        <w:ind w:firstLine="540"/>
        <w:jc w:val="both"/>
      </w:pPr>
      <w:r>
        <w:rPr>
          <w:sz w:val="20"/>
        </w:rPr>
        <w:t xml:space="preserve">172. Кандидат на получение медицинского заключения должен иметь достаточный рост в положении сидя, соответствующую длину рук и ног, мышечную силу для безопасного осуществления прав, предоставляемых его свидетельством. При спорных случаях возможна проверка на летном тренажере с заключением инструктора тренажера о результатах проверки.</w:t>
      </w:r>
    </w:p>
    <w:p>
      <w:pPr>
        <w:pStyle w:val="0"/>
        <w:spacing w:before="200" w:line-rule="auto"/>
        <w:ind w:firstLine="540"/>
        <w:jc w:val="both"/>
      </w:pPr>
      <w:r>
        <w:rPr>
          <w:sz w:val="20"/>
        </w:rPr>
        <w:t xml:space="preserve">173. Оценка годности при дефектах кисти, стопы (пороки развития, последствия травмы, хирургического вмешательства) определяется степенью функциональной сохранности, при необходимости - после проверки на тренажере (с заключением инструктора тренажера о результатах проверки).</w:t>
      </w:r>
    </w:p>
    <w:p>
      <w:pPr>
        <w:pStyle w:val="0"/>
        <w:spacing w:before="200" w:line-rule="auto"/>
        <w:ind w:firstLine="540"/>
        <w:jc w:val="both"/>
      </w:pPr>
      <w:r>
        <w:rPr>
          <w:sz w:val="20"/>
        </w:rPr>
        <w:t xml:space="preserve">174. Негодность к работе (обучению) определяется при отсутствии стопы, врожденной или приобретенной патологии стопы (Q72, Z89), нарушающей ее функции и затрудняющей ходьбу.</w:t>
      </w:r>
    </w:p>
    <w:p>
      <w:pPr>
        <w:pStyle w:val="0"/>
        <w:spacing w:before="200" w:line-rule="auto"/>
        <w:ind w:firstLine="540"/>
        <w:jc w:val="both"/>
      </w:pPr>
      <w:r>
        <w:rPr>
          <w:sz w:val="20"/>
        </w:rPr>
        <w:t xml:space="preserve">175. Плоскостопие (Q66) любой степени без явлений выраженного остеоартроза и с сохранностью функций стопы не является основанием для вынесения заключения о негодности к обучению и работе.</w:t>
      </w:r>
    </w:p>
    <w:p>
      <w:pPr>
        <w:pStyle w:val="0"/>
        <w:spacing w:before="200" w:line-rule="auto"/>
        <w:ind w:firstLine="540"/>
        <w:jc w:val="both"/>
      </w:pPr>
      <w:r>
        <w:rPr>
          <w:sz w:val="20"/>
        </w:rPr>
        <w:t xml:space="preserve">176. После операции на мышцах, сухожилиях, связках, костях и суставах годность к работе (обучению) определяется после восстановления функций. Допустимо укорочение руки или ноги в результате операции (травмы) не более чем на 2 см.</w:t>
      </w:r>
    </w:p>
    <w:p>
      <w:pPr>
        <w:pStyle w:val="0"/>
        <w:spacing w:before="200" w:line-rule="auto"/>
        <w:ind w:firstLine="540"/>
        <w:jc w:val="both"/>
      </w:pPr>
      <w:r>
        <w:rPr>
          <w:sz w:val="20"/>
        </w:rPr>
        <w:t xml:space="preserve">177. При выраженных послеоперационных, посттравматических дефектах функциональная состоятельность оценивается по результатам проверки на тренажере на основании заключения инструктора тренажера о результатах тестирования (оценивается способность легко доставать органы управления и эффективно работать с ними).</w:t>
      </w:r>
    </w:p>
    <w:p>
      <w:pPr>
        <w:pStyle w:val="0"/>
        <w:spacing w:before="200" w:line-rule="auto"/>
        <w:ind w:firstLine="540"/>
        <w:jc w:val="both"/>
      </w:pPr>
      <w:r>
        <w:rPr>
          <w:sz w:val="20"/>
        </w:rPr>
        <w:t xml:space="preserve">178. В случае отказа от операции при показаниях к оперативному лечению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179. Применение различного рода фиксаторов при остеосинтезе и операциях по протезированию с благоприятным послеоперационным течением, достаточной функциональной состоятельностью по данным анамнеза, осмотра, контрольного рентгенологического исследования, заключению травматолога-ортопеда не является основанием для вынесения заключения о негодности к обучению и работе.</w:t>
      </w:r>
    </w:p>
    <w:p>
      <w:pPr>
        <w:pStyle w:val="0"/>
        <w:spacing w:before="200" w:line-rule="auto"/>
        <w:ind w:firstLine="540"/>
        <w:jc w:val="both"/>
      </w:pPr>
      <w:r>
        <w:rPr>
          <w:sz w:val="20"/>
        </w:rPr>
        <w:t xml:space="preserve">180. При остеомиелите (M86) при наличии секвестральных полостей, свищей кандидаты на получение медицинского заключения не годны к обучению и работе, подлежат лечению (консервативному и/или хирургическому).</w:t>
      </w:r>
    </w:p>
    <w:p>
      <w:pPr>
        <w:pStyle w:val="0"/>
        <w:spacing w:before="200" w:line-rule="auto"/>
        <w:ind w:firstLine="540"/>
        <w:jc w:val="both"/>
      </w:pPr>
      <w:r>
        <w:rPr>
          <w:sz w:val="20"/>
        </w:rPr>
        <w:t xml:space="preserve">181. Морфологические изменения в позвоночнике в виде разрастания краев позвонков, единичных шиловидных разрастаний на них, уплотнения продольной связки, обнаруженных рентгенологически, но без клинических проявлений, не являются основанием для вынесения заключения о негодности к обучению и работе.</w:t>
      </w:r>
    </w:p>
    <w:p>
      <w:pPr>
        <w:pStyle w:val="0"/>
        <w:spacing w:before="200" w:line-rule="auto"/>
        <w:ind w:firstLine="540"/>
        <w:jc w:val="both"/>
      </w:pPr>
      <w:r>
        <w:rPr>
          <w:sz w:val="20"/>
        </w:rPr>
        <w:t xml:space="preserve">182. После патологического перелома тел позвонков (независимо от фазы процесса и функционального состояния)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183. При переломе тел позвонков (S22, S32) с подвывихом, при туберкулезе (M49.0) позвоночника (независимо от фазы процесса и состояния функции) выносится заключение о негодности к обучению и работе. После компрессионного перелома тел одного или двух позвонков освидетельствование проводится не ранее чем через 12 месяцев после травмы. При компрессионном переломе тел позвонков при условии полного восстановления функции допускается освидетельствование после успешного оперативного лечения через 6 месяцев, после чрескожной вертебропластики - через 2 месяца.</w:t>
      </w:r>
    </w:p>
    <w:p>
      <w:pPr>
        <w:pStyle w:val="0"/>
        <w:spacing w:before="200" w:line-rule="auto"/>
        <w:ind w:firstLine="540"/>
        <w:jc w:val="both"/>
      </w:pPr>
      <w:r>
        <w:rPr>
          <w:sz w:val="20"/>
        </w:rPr>
        <w:t xml:space="preserve">184. В случаях перелома поперечных остистых отростков обладатель медицинского заключения допускается к работе (обучению) при восстановлении их функций и исчезновении болевого синдрома.</w:t>
      </w:r>
    </w:p>
    <w:p>
      <w:pPr>
        <w:pStyle w:val="0"/>
        <w:spacing w:before="200" w:line-rule="auto"/>
        <w:ind w:firstLine="540"/>
        <w:jc w:val="both"/>
      </w:pPr>
      <w:r>
        <w:rPr>
          <w:sz w:val="20"/>
        </w:rPr>
        <w:t xml:space="preserve">185. При консолидированных переломах костей таза (S32) медицинское освидетельствование проводится не ранее чем через 6 месяцев после травмы.</w:t>
      </w:r>
    </w:p>
    <w:p>
      <w:pPr>
        <w:pStyle w:val="0"/>
        <w:spacing w:before="200" w:line-rule="auto"/>
        <w:ind w:firstLine="540"/>
        <w:jc w:val="both"/>
      </w:pPr>
      <w:r>
        <w:rPr>
          <w:sz w:val="20"/>
        </w:rPr>
        <w:t xml:space="preserve">186. Кандидаты на получение медицинского заключения с острыми инфекционными, инфекционно-аллергическими артритами, полиартритами подлежат лечению. Кандидаты на получение медицинского заключения с воспалительными, аллергическими, обменными заболеваниями суставов, системными поражениями соединительной ткани (M00 - M03, M05 - M14, M15 - M19)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 годными к обучению и работе.</w:t>
      </w:r>
    </w:p>
    <w:p>
      <w:pPr>
        <w:pStyle w:val="0"/>
        <w:spacing w:before="200" w:line-rule="auto"/>
        <w:ind w:firstLine="540"/>
        <w:jc w:val="both"/>
      </w:pPr>
      <w:r>
        <w:rPr>
          <w:sz w:val="20"/>
        </w:rPr>
        <w:t xml:space="preserve">187. При патологии суставов и системных заболеваниях соединительной ткани в стойкой ремиссии без выраженных нарушений функций органов заключение выносится в зависимости от функционального состояния суставов и вовлеченных органов. При этом кандидаты на получение медицинского заключения признаются не годными к обучению и работе.</w:t>
      </w:r>
    </w:p>
    <w:p>
      <w:pPr>
        <w:pStyle w:val="0"/>
        <w:jc w:val="both"/>
      </w:pPr>
      <w:r>
        <w:rPr>
          <w:sz w:val="20"/>
        </w:rPr>
      </w:r>
    </w:p>
    <w:p>
      <w:pPr>
        <w:pStyle w:val="2"/>
        <w:outlineLvl w:val="2"/>
        <w:jc w:val="center"/>
      </w:pPr>
      <w:r>
        <w:rPr>
          <w:sz w:val="20"/>
        </w:rPr>
        <w:t xml:space="preserve">XI. Психиатрия (F00 - F99)</w:t>
      </w:r>
    </w:p>
    <w:p>
      <w:pPr>
        <w:pStyle w:val="0"/>
        <w:jc w:val="both"/>
      </w:pPr>
      <w:r>
        <w:rPr>
          <w:sz w:val="20"/>
        </w:rPr>
      </w:r>
    </w:p>
    <w:p>
      <w:pPr>
        <w:pStyle w:val="0"/>
        <w:ind w:firstLine="540"/>
        <w:jc w:val="both"/>
      </w:pPr>
      <w:r>
        <w:rPr>
          <w:sz w:val="20"/>
        </w:rPr>
        <w:t xml:space="preserve">188. Кандидаты на получение медицинского заключения не должны иметь медицинской истории в анамнезе, описывающей наличие каких-либо психиатрических заболеваний, либо соответствующих клинических диагнозов о недееспособности, которые могут препятствовать выполнению профессиональных обязанностей, предусмотренных соответствующими свидетельствами, и создавать угрозу безопасности полетов.</w:t>
      </w:r>
    </w:p>
    <w:p>
      <w:pPr>
        <w:pStyle w:val="0"/>
        <w:spacing w:before="200" w:line-rule="auto"/>
        <w:ind w:firstLine="540"/>
        <w:jc w:val="both"/>
      </w:pPr>
      <w:r>
        <w:rPr>
          <w:sz w:val="20"/>
        </w:rPr>
        <w:t xml:space="preserve">189. Кандидаты на получение медицинского заключения признаются не годными к обучению и работе без права восстановления со следующими клинически установленными диагнозами (диагноз подтверждается решением врачебной комиссии специализированного учреждения психиатрического профиля после проведенного полного обследования в специализированной психиатрической (наркологической) медицинской организации):</w:t>
      </w:r>
    </w:p>
    <w:p>
      <w:pPr>
        <w:pStyle w:val="0"/>
        <w:spacing w:before="200" w:line-rule="auto"/>
        <w:ind w:firstLine="540"/>
        <w:jc w:val="both"/>
      </w:pPr>
      <w:r>
        <w:rPr>
          <w:sz w:val="20"/>
        </w:rPr>
        <w:t xml:space="preserve">1) органические, включая симптоматические, психические расстройства (F00 - F09);</w:t>
      </w:r>
    </w:p>
    <w:p>
      <w:pPr>
        <w:pStyle w:val="0"/>
        <w:spacing w:before="200" w:line-rule="auto"/>
        <w:ind w:firstLine="540"/>
        <w:jc w:val="both"/>
      </w:pPr>
      <w:r>
        <w:rPr>
          <w:sz w:val="20"/>
        </w:rPr>
        <w:t xml:space="preserve">2) психические расстройства и расстройства поведения, связанные с употреблением психоактивных веществ (F10 - F19);</w:t>
      </w:r>
    </w:p>
    <w:p>
      <w:pPr>
        <w:pStyle w:val="0"/>
        <w:spacing w:before="200" w:line-rule="auto"/>
        <w:ind w:firstLine="540"/>
        <w:jc w:val="both"/>
      </w:pPr>
      <w:r>
        <w:rPr>
          <w:sz w:val="20"/>
        </w:rPr>
        <w:t xml:space="preserve">3) шизофрения, шизотипические и бредовые расстройства (F20 - F29);</w:t>
      </w:r>
    </w:p>
    <w:p>
      <w:pPr>
        <w:pStyle w:val="0"/>
        <w:spacing w:before="200" w:line-rule="auto"/>
        <w:ind w:firstLine="540"/>
        <w:jc w:val="both"/>
      </w:pPr>
      <w:r>
        <w:rPr>
          <w:sz w:val="20"/>
        </w:rPr>
        <w:t xml:space="preserve">4) расстройства настроения (аффективные расстройства) (F30 - 39);</w:t>
      </w:r>
    </w:p>
    <w:p>
      <w:pPr>
        <w:pStyle w:val="0"/>
        <w:spacing w:before="200" w:line-rule="auto"/>
        <w:ind w:firstLine="540"/>
        <w:jc w:val="both"/>
      </w:pPr>
      <w:r>
        <w:rPr>
          <w:sz w:val="20"/>
        </w:rPr>
        <w:t xml:space="preserve">5) невротические, связанные со стрессом и соматоформные расстройства (F40 - F48);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расстройства личности и поведения в зрелом возрасте (F60 - F69);</w:t>
      </w:r>
    </w:p>
    <w:p>
      <w:pPr>
        <w:pStyle w:val="0"/>
        <w:spacing w:before="200" w:line-rule="auto"/>
        <w:ind w:firstLine="540"/>
        <w:jc w:val="both"/>
      </w:pPr>
      <w:r>
        <w:rPr>
          <w:sz w:val="20"/>
        </w:rPr>
        <w:t xml:space="preserve">6) умственная отсталость (F70 - F79);</w:t>
      </w:r>
    </w:p>
    <w:p>
      <w:pPr>
        <w:pStyle w:val="0"/>
        <w:spacing w:before="200" w:line-rule="auto"/>
        <w:ind w:firstLine="540"/>
        <w:jc w:val="both"/>
      </w:pPr>
      <w:r>
        <w:rPr>
          <w:sz w:val="20"/>
        </w:rPr>
        <w:t xml:space="preserve">7) расстройства психологического (психического) развития (F80 - F89);</w:t>
      </w:r>
    </w:p>
    <w:p>
      <w:pPr>
        <w:pStyle w:val="0"/>
        <w:spacing w:before="200" w:line-rule="auto"/>
        <w:ind w:firstLine="540"/>
        <w:jc w:val="both"/>
      </w:pPr>
      <w:r>
        <w:rPr>
          <w:sz w:val="20"/>
        </w:rPr>
        <w:t xml:space="preserve">8) эмоциональные расстройства и расстройства поведения, начинающиеся обычно в детском и подростковом возрасте (F90 - F99).</w:t>
      </w:r>
    </w:p>
    <w:p>
      <w:pPr>
        <w:pStyle w:val="0"/>
        <w:spacing w:before="200" w:line-rule="auto"/>
        <w:ind w:firstLine="540"/>
        <w:jc w:val="both"/>
      </w:pPr>
      <w:r>
        <w:rPr>
          <w:sz w:val="20"/>
        </w:rPr>
        <w:t xml:space="preserve">190. Кандидаты на получение медицинского заключения после выздоровления и при полной компенсации нервно-психических функций без применения поддерживающей терапии через 4 - 6 месяцев могут освидетельствоваться ЦВЛЭК ГА (с выпиской по месту наблюдения) после обследования в специализированном психиатрическом (наркологическом) учреждении с заключением клинического психолога и врача-психиатра ЦВЛЭК ГА с клинически установленными диагнозами:</w:t>
      </w:r>
    </w:p>
    <w:p>
      <w:pPr>
        <w:pStyle w:val="0"/>
        <w:spacing w:before="200" w:line-rule="auto"/>
        <w:ind w:firstLine="540"/>
        <w:jc w:val="both"/>
      </w:pPr>
      <w:r>
        <w:rPr>
          <w:sz w:val="20"/>
        </w:rPr>
        <w:t xml:space="preserve">1) "невротические, связанные со стрессом и соматоформные расстройства":</w:t>
      </w:r>
    </w:p>
    <w:p>
      <w:pPr>
        <w:pStyle w:val="0"/>
        <w:spacing w:before="200" w:line-rule="auto"/>
        <w:ind w:firstLine="540"/>
        <w:jc w:val="both"/>
      </w:pPr>
      <w:r>
        <w:rPr>
          <w:sz w:val="20"/>
        </w:rPr>
        <w:t xml:space="preserve">- реакция на тяжелый стресс и нарушения адаптации (F43);</w:t>
      </w:r>
    </w:p>
    <w:p>
      <w:pPr>
        <w:pStyle w:val="0"/>
        <w:spacing w:before="200" w:line-rule="auto"/>
        <w:ind w:firstLine="540"/>
        <w:jc w:val="both"/>
      </w:pPr>
      <w:r>
        <w:rPr>
          <w:sz w:val="20"/>
        </w:rPr>
        <w:t xml:space="preserve">2) "поведенческие синдромы, связанные с физиологическими нарушениями и физическими факторами":</w:t>
      </w:r>
    </w:p>
    <w:p>
      <w:pPr>
        <w:pStyle w:val="0"/>
        <w:spacing w:before="200" w:line-rule="auto"/>
        <w:ind w:firstLine="540"/>
        <w:jc w:val="both"/>
      </w:pPr>
      <w:r>
        <w:rPr>
          <w:sz w:val="20"/>
        </w:rPr>
        <w:t xml:space="preserve">- расстройство режима сна-бодрствования неорганической природы (F51.2);</w:t>
      </w:r>
    </w:p>
    <w:p>
      <w:pPr>
        <w:pStyle w:val="0"/>
        <w:spacing w:before="200" w:line-rule="auto"/>
        <w:ind w:firstLine="540"/>
        <w:jc w:val="both"/>
      </w:pPr>
      <w:r>
        <w:rPr>
          <w:sz w:val="20"/>
        </w:rPr>
        <w:t xml:space="preserve">- кошмары (F51.5);</w:t>
      </w:r>
    </w:p>
    <w:p>
      <w:pPr>
        <w:pStyle w:val="0"/>
        <w:spacing w:before="200" w:line-rule="auto"/>
        <w:ind w:firstLine="540"/>
        <w:jc w:val="both"/>
      </w:pPr>
      <w:r>
        <w:rPr>
          <w:sz w:val="20"/>
        </w:rPr>
        <w:t xml:space="preserve">- сексуальные расстройства, не обусловленные органическими нарушениями или болезнями (F52);</w:t>
      </w:r>
    </w:p>
    <w:p>
      <w:pPr>
        <w:pStyle w:val="0"/>
        <w:spacing w:before="200" w:line-rule="auto"/>
        <w:ind w:firstLine="540"/>
        <w:jc w:val="both"/>
      </w:pPr>
      <w:r>
        <w:rPr>
          <w:sz w:val="20"/>
        </w:rPr>
        <w:t xml:space="preserve">- психические и поведенческие расстройства, связанные с послеродовым периодом и не классифицируемые в других разделах (F53);</w:t>
      </w:r>
    </w:p>
    <w:p>
      <w:pPr>
        <w:pStyle w:val="0"/>
        <w:spacing w:before="200" w:line-rule="auto"/>
        <w:ind w:firstLine="540"/>
        <w:jc w:val="both"/>
      </w:pPr>
      <w:r>
        <w:rPr>
          <w:sz w:val="20"/>
        </w:rPr>
        <w:t xml:space="preserve">- психологические и поведенческие факторы, связанные с расстройствами или болезнями, классифицированными в других разделах (F54);</w:t>
      </w:r>
    </w:p>
    <w:p>
      <w:pPr>
        <w:pStyle w:val="0"/>
        <w:spacing w:before="200" w:line-rule="auto"/>
        <w:ind w:firstLine="540"/>
        <w:jc w:val="both"/>
      </w:pPr>
      <w:r>
        <w:rPr>
          <w:sz w:val="20"/>
        </w:rPr>
        <w:t xml:space="preserve">- поведенческие синдромы, связанные с физиологическими нарушениями и физическими факторами, неуточненные (F59).</w:t>
      </w:r>
    </w:p>
    <w:p>
      <w:pPr>
        <w:pStyle w:val="0"/>
        <w:spacing w:before="200" w:line-rule="auto"/>
        <w:ind w:firstLine="540"/>
        <w:jc w:val="both"/>
      </w:pPr>
      <w:r>
        <w:rPr>
          <w:sz w:val="20"/>
        </w:rPr>
        <w:t xml:space="preserve">191. Кандидаты на получение медицинского заключения при первичном выявлении (в том числе при проведении предполетного/послеполетного, предсменного/послесменного осмотров) состояния опьянения (алкогольного, наркотического или иного токсического) или остаточных явлений такого опьянения,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признаются не годными к обучению и работе. Вопрос о восстановлении допуска к работе (обучению) рассматривается через 3 месяца в случае представления сведений из медицинской организации государственной или муниципальной системы здравоохранения по месту жительства (пребывания) кандидата на получение медицинского заключения, имеющей лицензию на осуществление медицинской деятельности, предусматривающей выполнение работ (услуг) по психиатрии-наркологии и лабораторной диагностике либо клинической лабораторной диагностике о проводимом в течение всего этого периода наблюдении с проведением химико-токсикологических исследований, подтверждающих факт однократного употребления алкоголя, наркотических средств, психотропных веществ и их метаболитов, новых потенциально опасных психоактивных веществ или одурманивающих веществ.</w:t>
      </w:r>
    </w:p>
    <w:p>
      <w:pPr>
        <w:pStyle w:val="0"/>
        <w:spacing w:before="200" w:line-rule="auto"/>
        <w:ind w:firstLine="540"/>
        <w:jc w:val="both"/>
      </w:pPr>
      <w:r>
        <w:rPr>
          <w:sz w:val="20"/>
        </w:rPr>
        <w:t xml:space="preserve">При повторном установлении (в том числе при проведении предполетного/послеполетного, предсменного/послесменного осмотров) факта употребления алкоголя, наркотических средств, психотропных веществ и их метаболитов, новых потенциально опасных психоактивных веществ или одурманивающих веществ или состояния опьянения (алкогольного, наркотического или иного токсического), выносится заключение о негодности к работе (обучению).</w:t>
      </w:r>
    </w:p>
    <w:p>
      <w:pPr>
        <w:pStyle w:val="0"/>
        <w:spacing w:before="200" w:line-rule="auto"/>
        <w:ind w:firstLine="540"/>
        <w:jc w:val="both"/>
      </w:pPr>
      <w:r>
        <w:rPr>
          <w:sz w:val="20"/>
        </w:rPr>
        <w:t xml:space="preserve">192.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вынесения заключения о негодности к обучению и работе. Появление неадекватных поведенческих реакций, ранее не отмеченных у кандидата на получение медицинского заключения,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врача-психиатра ЦВЛЭК ГА. При незначительных отклонениях заключение о годности выносится с учетом профессиональных качеств, опыта работы, качества выполняемой работы.</w:t>
      </w:r>
    </w:p>
    <w:p>
      <w:pPr>
        <w:pStyle w:val="0"/>
        <w:jc w:val="both"/>
      </w:pPr>
      <w:r>
        <w:rPr>
          <w:sz w:val="20"/>
        </w:rPr>
      </w:r>
    </w:p>
    <w:p>
      <w:pPr>
        <w:pStyle w:val="2"/>
        <w:outlineLvl w:val="2"/>
        <w:jc w:val="center"/>
      </w:pPr>
      <w:r>
        <w:rPr>
          <w:sz w:val="20"/>
        </w:rPr>
        <w:t xml:space="preserve">XII. Психология</w:t>
      </w:r>
    </w:p>
    <w:p>
      <w:pPr>
        <w:pStyle w:val="0"/>
        <w:jc w:val="both"/>
      </w:pPr>
      <w:r>
        <w:rPr>
          <w:sz w:val="20"/>
        </w:rPr>
      </w:r>
    </w:p>
    <w:p>
      <w:pPr>
        <w:pStyle w:val="0"/>
        <w:ind w:firstLine="540"/>
        <w:jc w:val="both"/>
      </w:pPr>
      <w:r>
        <w:rPr>
          <w:sz w:val="20"/>
        </w:rPr>
        <w:t xml:space="preserve">193. При психологическом тестировании медицинский психолог ВЛЭК ГА (ЦВЛЭК ГА) оценивает общее психическое состояние обследуемого, темп психической деятельности (признаки истощаемости, быстрого утомления), индивидуально-психологические и личностные особенности, профессиональную мотивацию, а также высшие психические (в том числе - когнитивные) функции (концентрация и распределение внимания, вербальные и арифметические способности, объем памяти, ориентация в пространстве, зрительная и моторная координация).</w:t>
      </w:r>
    </w:p>
    <w:p>
      <w:pPr>
        <w:pStyle w:val="0"/>
        <w:jc w:val="both"/>
      </w:pPr>
      <w:r>
        <w:rPr>
          <w:sz w:val="20"/>
        </w:rPr>
        <w:t xml:space="preserve">(п. 193 в ред. </w:t>
      </w:r>
      <w:hyperlink w:history="0" r:id="rId9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194. Заключение медицинского психолога ВЛЭК ГА (ЦВЛЭК ГА) не является экспертным заключением, носит информативно-рекомендательный характер и учитывается неврологом ВЛЭК ГА (ЦВЛЭК ГА) при вынесении медицинского заключения.</w:t>
      </w:r>
    </w:p>
    <w:p>
      <w:pPr>
        <w:pStyle w:val="0"/>
        <w:spacing w:before="200" w:line-rule="auto"/>
        <w:ind w:firstLine="540"/>
        <w:jc w:val="both"/>
      </w:pPr>
      <w:r>
        <w:rPr>
          <w:sz w:val="20"/>
        </w:rPr>
        <w:t xml:space="preserve">195. Стандартное обследование у медицинского психолога ВЛЭК ГА (ЦВЛЭК ГА) состоит из 2 частей:</w:t>
      </w:r>
    </w:p>
    <w:p>
      <w:pPr>
        <w:pStyle w:val="0"/>
        <w:spacing w:before="200" w:line-rule="auto"/>
        <w:ind w:firstLine="540"/>
        <w:jc w:val="both"/>
      </w:pPr>
      <w:r>
        <w:rPr>
          <w:sz w:val="20"/>
        </w:rPr>
        <w:t xml:space="preserve">диагностика индивидуально-психологических и личностных особенностей кандидата на получение медицинского заключения;</w:t>
      </w:r>
    </w:p>
    <w:p>
      <w:pPr>
        <w:pStyle w:val="0"/>
        <w:spacing w:before="200" w:line-rule="auto"/>
        <w:ind w:firstLine="540"/>
        <w:jc w:val="both"/>
      </w:pPr>
      <w:r>
        <w:rPr>
          <w:sz w:val="20"/>
        </w:rPr>
        <w:t xml:space="preserve">оценка профессионально важных качеств кандидата на получение медицинского заключения (когнитивные и высшие психические функции).</w:t>
      </w:r>
    </w:p>
    <w:p>
      <w:pPr>
        <w:pStyle w:val="0"/>
        <w:spacing w:before="200" w:line-rule="auto"/>
        <w:ind w:firstLine="540"/>
        <w:jc w:val="both"/>
      </w:pPr>
      <w:r>
        <w:rPr>
          <w:sz w:val="20"/>
        </w:rPr>
        <w:t xml:space="preserve">196. В случае возникновения необходимости уточнения полученных в ходе стандартного обследования результатов медицинский психолог ВЛЭК ГА (ЦВЛЭК ГА) проводит расширенное психологическое обследование, в том числе в индивидуальном варианте, а также с применением дополнительных бланковых или компьютеризированных методик.</w:t>
      </w:r>
    </w:p>
    <w:p>
      <w:pPr>
        <w:pStyle w:val="0"/>
        <w:spacing w:before="200" w:line-rule="auto"/>
        <w:ind w:firstLine="540"/>
        <w:jc w:val="both"/>
      </w:pPr>
      <w:r>
        <w:rPr>
          <w:sz w:val="20"/>
        </w:rPr>
        <w:t xml:space="preserve">197. Наиболее часто основаниями для расширения психологического обследования являются:</w:t>
      </w:r>
    </w:p>
    <w:p>
      <w:pPr>
        <w:pStyle w:val="0"/>
        <w:spacing w:before="200" w:line-rule="auto"/>
        <w:ind w:firstLine="540"/>
        <w:jc w:val="both"/>
      </w:pPr>
      <w:r>
        <w:rPr>
          <w:sz w:val="20"/>
        </w:rPr>
        <w:t xml:space="preserve">1) со стороны индивидуально-психологических и личностных особенностей кандидата на получение медицинского заключения:</w:t>
      </w:r>
    </w:p>
    <w:p>
      <w:pPr>
        <w:pStyle w:val="0"/>
        <w:spacing w:before="200" w:line-rule="auto"/>
        <w:ind w:firstLine="540"/>
        <w:jc w:val="both"/>
      </w:pPr>
      <w:r>
        <w:rPr>
          <w:sz w:val="20"/>
        </w:rPr>
        <w:t xml:space="preserve">- недостоверные результаты по личностным тестам, а также при выявлении высокой вероятности натренированности кандидата на получение медицинского заключения к методикам;</w:t>
      </w:r>
    </w:p>
    <w:p>
      <w:pPr>
        <w:pStyle w:val="0"/>
        <w:spacing w:before="200" w:line-rule="auto"/>
        <w:ind w:firstLine="540"/>
        <w:jc w:val="both"/>
      </w:pPr>
      <w:r>
        <w:rPr>
          <w:sz w:val="20"/>
        </w:rPr>
        <w:t xml:space="preserve">- признаки наличия нервно-психической неустойчивости обследуемого (НПН);</w:t>
      </w:r>
    </w:p>
    <w:p>
      <w:pPr>
        <w:pStyle w:val="0"/>
        <w:spacing w:before="200" w:line-rule="auto"/>
        <w:ind w:firstLine="540"/>
        <w:jc w:val="both"/>
      </w:pPr>
      <w:r>
        <w:rPr>
          <w:sz w:val="20"/>
        </w:rPr>
        <w:t xml:space="preserve">- наличие отрицательной производственной характеристики или характеристики из образовательного учреждения ГА;</w:t>
      </w:r>
    </w:p>
    <w:p>
      <w:pPr>
        <w:pStyle w:val="0"/>
        <w:spacing w:before="200" w:line-rule="auto"/>
        <w:ind w:firstLine="540"/>
        <w:jc w:val="both"/>
      </w:pPr>
      <w:r>
        <w:rPr>
          <w:sz w:val="20"/>
        </w:rPr>
        <w:t xml:space="preserve">- наличие признаков расстройства личности;</w:t>
      </w:r>
    </w:p>
    <w:p>
      <w:pPr>
        <w:pStyle w:val="0"/>
        <w:spacing w:before="200" w:line-rule="auto"/>
        <w:ind w:firstLine="540"/>
        <w:jc w:val="both"/>
      </w:pPr>
      <w:r>
        <w:rPr>
          <w:sz w:val="20"/>
        </w:rPr>
        <w:t xml:space="preserve">- наличие профессионально неблагоприятных личностных характеристик;</w:t>
      </w:r>
    </w:p>
    <w:p>
      <w:pPr>
        <w:pStyle w:val="0"/>
        <w:spacing w:before="200" w:line-rule="auto"/>
        <w:ind w:firstLine="540"/>
        <w:jc w:val="both"/>
      </w:pPr>
      <w:r>
        <w:rPr>
          <w:sz w:val="20"/>
        </w:rPr>
        <w:t xml:space="preserve">- наличие признаков акцентуации характера;</w:t>
      </w:r>
    </w:p>
    <w:p>
      <w:pPr>
        <w:pStyle w:val="0"/>
        <w:spacing w:before="200" w:line-rule="auto"/>
        <w:ind w:firstLine="540"/>
        <w:jc w:val="both"/>
      </w:pPr>
      <w:r>
        <w:rPr>
          <w:sz w:val="20"/>
        </w:rPr>
        <w:t xml:space="preserve">- присутствие языкового барьера;</w:t>
      </w:r>
    </w:p>
    <w:p>
      <w:pPr>
        <w:pStyle w:val="0"/>
        <w:spacing w:before="200" w:line-rule="auto"/>
        <w:ind w:firstLine="540"/>
        <w:jc w:val="both"/>
      </w:pPr>
      <w:r>
        <w:rPr>
          <w:sz w:val="20"/>
        </w:rPr>
        <w:t xml:space="preserve">- наличие татуировок и шрамов.</w:t>
      </w:r>
    </w:p>
    <w:p>
      <w:pPr>
        <w:pStyle w:val="0"/>
        <w:spacing w:before="200" w:line-rule="auto"/>
        <w:ind w:firstLine="540"/>
        <w:jc w:val="both"/>
      </w:pPr>
      <w:r>
        <w:rPr>
          <w:sz w:val="20"/>
        </w:rPr>
        <w:t xml:space="preserve">2) со стороны оценки профессионально важных качеств кандидата на получение медицинского заключения (когнитивные и высшие психические функции):</w:t>
      </w:r>
    </w:p>
    <w:p>
      <w:pPr>
        <w:pStyle w:val="0"/>
        <w:spacing w:before="200" w:line-rule="auto"/>
        <w:ind w:firstLine="540"/>
        <w:jc w:val="both"/>
      </w:pPr>
      <w:r>
        <w:rPr>
          <w:sz w:val="20"/>
        </w:rPr>
        <w:t xml:space="preserve">- высокая вероятность эффекта тренированности;</w:t>
      </w:r>
    </w:p>
    <w:p>
      <w:pPr>
        <w:pStyle w:val="0"/>
        <w:spacing w:before="200" w:line-rule="auto"/>
        <w:ind w:firstLine="540"/>
        <w:jc w:val="both"/>
      </w:pPr>
      <w:r>
        <w:rPr>
          <w:sz w:val="20"/>
        </w:rPr>
        <w:t xml:space="preserve">- общий балл результатов обследования "ниже среднего" и "низкий";</w:t>
      </w:r>
    </w:p>
    <w:p>
      <w:pPr>
        <w:pStyle w:val="0"/>
        <w:spacing w:before="200" w:line-rule="auto"/>
        <w:ind w:firstLine="540"/>
        <w:jc w:val="both"/>
      </w:pPr>
      <w:r>
        <w:rPr>
          <w:sz w:val="20"/>
        </w:rPr>
        <w:t xml:space="preserve">- снижение результатов обследования отдельных психических функций.</w:t>
      </w:r>
    </w:p>
    <w:p>
      <w:pPr>
        <w:pStyle w:val="0"/>
        <w:spacing w:before="200" w:line-rule="auto"/>
        <w:ind w:firstLine="540"/>
        <w:jc w:val="both"/>
      </w:pPr>
      <w:r>
        <w:rPr>
          <w:sz w:val="20"/>
        </w:rPr>
        <w:t xml:space="preserve">198. При выявлении у кандидата на получение медицинского заключения профессионально неблагоприятных личностных особенностей, не достигающих уровня расстройства личности или выраженной акцентуации личности (характера), медицинский психолог ВЛЭК ГА направляет его в ЦВЛЭК ГА с целью уточнения заключения медицинского психолога.</w:t>
      </w:r>
    </w:p>
    <w:p>
      <w:pPr>
        <w:pStyle w:val="0"/>
        <w:spacing w:before="200" w:line-rule="auto"/>
        <w:ind w:firstLine="540"/>
        <w:jc w:val="both"/>
      </w:pPr>
      <w:r>
        <w:rPr>
          <w:sz w:val="20"/>
        </w:rPr>
        <w:t xml:space="preserve">199. В случае выявления у кандидата признаков нервно-психической неустойчивости, профессионально неблагоприятных психических состояний, признаков акцентуаций характера медицинский психолог ВЛЭК ГА (ЦВЛЭК ГА) направляет кандидата на консультацию к врачу-психиатру ЦВЛЭК ГА.</w:t>
      </w:r>
    </w:p>
    <w:p>
      <w:pPr>
        <w:pStyle w:val="0"/>
        <w:jc w:val="both"/>
      </w:pPr>
      <w:r>
        <w:rPr>
          <w:sz w:val="20"/>
        </w:rPr>
        <w:t xml:space="preserve">(в ред. </w:t>
      </w:r>
      <w:hyperlink w:history="0" r:id="rId10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200. В случае когда врач-психиатр не выносит диагноз клинического характера, медицинский психолог выносит выявленные особенности в "общий вывод" и рекомендует контроль в динамике.</w:t>
      </w:r>
    </w:p>
    <w:p>
      <w:pPr>
        <w:pStyle w:val="0"/>
        <w:jc w:val="both"/>
      </w:pPr>
      <w:r>
        <w:rPr>
          <w:sz w:val="20"/>
        </w:rPr>
        <w:t xml:space="preserve">(в ред. </w:t>
      </w:r>
      <w:hyperlink w:history="0" r:id="rId10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201. При подтверждении у кандидата на получение медицинского заключения профессионально неблагоприятных личностных особенностей, не достигающих уровня расстройства личности или выраженной акцентуации личности (характера), однако ставящих под угрозу выполнение профессиональных обязанностей или препятствующих ему, возможны:</w:t>
      </w:r>
    </w:p>
    <w:p>
      <w:pPr>
        <w:pStyle w:val="0"/>
        <w:spacing w:before="200" w:line-rule="auto"/>
        <w:ind w:firstLine="540"/>
        <w:jc w:val="both"/>
      </w:pPr>
      <w:r>
        <w:rPr>
          <w:sz w:val="20"/>
        </w:rPr>
        <w:t xml:space="preserve">вынесение отрицательного заключения с рекомендацией обследования в специализированном стационаре психиатрического профиля с круглосуточным пребыванием;</w:t>
      </w:r>
    </w:p>
    <w:p>
      <w:pPr>
        <w:pStyle w:val="0"/>
        <w:spacing w:before="200" w:line-rule="auto"/>
        <w:ind w:firstLine="540"/>
        <w:jc w:val="both"/>
      </w:pPr>
      <w:r>
        <w:rPr>
          <w:sz w:val="20"/>
        </w:rPr>
        <w:t xml:space="preserve">работа с психотерапевтом по профилю с представлением выписки.</w:t>
      </w:r>
    </w:p>
    <w:p>
      <w:pPr>
        <w:pStyle w:val="0"/>
        <w:spacing w:before="200" w:line-rule="auto"/>
        <w:ind w:firstLine="540"/>
        <w:jc w:val="both"/>
      </w:pPr>
      <w:r>
        <w:rPr>
          <w:sz w:val="20"/>
        </w:rPr>
        <w:t xml:space="preserve">202. При восстановлении на летную работу (обучение в профильном учебном заведении гражданской авиации) кандидат на получение медицинского заключения обязан иметь выписку из амбулаторной карты о пройденном лечении.</w:t>
      </w:r>
    </w:p>
    <w:p>
      <w:pPr>
        <w:pStyle w:val="0"/>
        <w:spacing w:before="200" w:line-rule="auto"/>
        <w:ind w:firstLine="540"/>
        <w:jc w:val="both"/>
      </w:pPr>
      <w:r>
        <w:rPr>
          <w:sz w:val="20"/>
        </w:rPr>
        <w:t xml:space="preserve">203. При выявлении общего низкого уровня основных психических функций (в динамике) медицинскому психологу ВЛЭК ГА следует направить кандидата на консультацию к врачу-неврологу ВЛЭК ГА для дообследования и вынесения решения о годности к обучению и работе.</w:t>
      </w:r>
    </w:p>
    <w:p>
      <w:pPr>
        <w:pStyle w:val="0"/>
        <w:spacing w:before="200" w:line-rule="auto"/>
        <w:ind w:firstLine="540"/>
        <w:jc w:val="both"/>
      </w:pPr>
      <w:r>
        <w:rPr>
          <w:sz w:val="20"/>
        </w:rPr>
        <w:t xml:space="preserve">204. При выявлении языкового барьера у кандидата на получение медицинского заключения в ходе проведения обследования у медицинского психолога ВЛЭК ГА (ЦВЛЭК ГА) дальнейшее психологическое обследование ведется в 2 направлениях:</w:t>
      </w:r>
    </w:p>
    <w:p>
      <w:pPr>
        <w:pStyle w:val="0"/>
        <w:spacing w:before="200" w:line-rule="auto"/>
        <w:ind w:firstLine="540"/>
        <w:jc w:val="both"/>
      </w:pPr>
      <w:r>
        <w:rPr>
          <w:sz w:val="20"/>
        </w:rPr>
        <w:t xml:space="preserve">оценка степени выраженности языкового барьера (словарный запас, соблюдение родовых и падежных окончаний, понимание устной и печатной русской речи и пр.);</w:t>
      </w:r>
    </w:p>
    <w:p>
      <w:pPr>
        <w:pStyle w:val="0"/>
        <w:spacing w:before="200" w:line-rule="auto"/>
        <w:ind w:firstLine="540"/>
        <w:jc w:val="both"/>
      </w:pPr>
      <w:r>
        <w:rPr>
          <w:sz w:val="20"/>
        </w:rPr>
        <w:t xml:space="preserve">оценка личностных и профессионально важных качеств кандидата на получение медицинского заключения с учетом того, что к его обследованию не могут быть корректно применены психодиагностические методики вербального характера, стандартизированные на русскоговорящей выборке.</w:t>
      </w:r>
    </w:p>
    <w:p>
      <w:pPr>
        <w:pStyle w:val="0"/>
        <w:spacing w:before="200" w:line-rule="auto"/>
        <w:ind w:firstLine="540"/>
        <w:jc w:val="both"/>
      </w:pPr>
      <w:r>
        <w:rPr>
          <w:sz w:val="20"/>
        </w:rPr>
        <w:t xml:space="preserve">В подобном случае медицинский психолог ВЛЭК ГА (ЦВЛЭК ГА) применяет методики проективного характера.</w:t>
      </w:r>
    </w:p>
    <w:p>
      <w:pPr>
        <w:pStyle w:val="0"/>
        <w:spacing w:before="200" w:line-rule="auto"/>
        <w:ind w:firstLine="540"/>
        <w:jc w:val="both"/>
      </w:pPr>
      <w:r>
        <w:rPr>
          <w:sz w:val="20"/>
        </w:rPr>
        <w:t xml:space="preserve">При психологическом обследовании кандидатов на получение медицинского заключения 1 класса с языковым барьером допускается присутствие переводчика.</w:t>
      </w:r>
    </w:p>
    <w:p>
      <w:pPr>
        <w:pStyle w:val="0"/>
        <w:jc w:val="both"/>
      </w:pPr>
      <w:r>
        <w:rPr>
          <w:sz w:val="20"/>
        </w:rPr>
        <w:t xml:space="preserve">(в ред. </w:t>
      </w:r>
      <w:hyperlink w:history="0" r:id="rId10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205. Наличие бодимодификаций (татуировок, а также следов их удаления, тоннелей, сплинта, пирсинга, окрашивания волосяного покрова головы в яркие и (или) неестественные цвета), а также шрамы на теле кандидата на получение медицинского заключения 1 класса являются основанием для расширенного обследования у медицинского психолога, направления на консультацию к врачу-психиатру.</w:t>
      </w:r>
    </w:p>
    <w:p>
      <w:pPr>
        <w:pStyle w:val="0"/>
        <w:jc w:val="both"/>
      </w:pPr>
      <w:r>
        <w:rPr>
          <w:sz w:val="20"/>
        </w:rPr>
        <w:t xml:space="preserve">(в ред. </w:t>
      </w:r>
      <w:hyperlink w:history="0" r:id="rId10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Татуировки допустимы:</w:t>
      </w:r>
    </w:p>
    <w:p>
      <w:pPr>
        <w:pStyle w:val="0"/>
        <w:spacing w:before="200" w:line-rule="auto"/>
        <w:ind w:firstLine="540"/>
        <w:jc w:val="both"/>
      </w:pPr>
      <w:r>
        <w:rPr>
          <w:sz w:val="20"/>
        </w:rPr>
        <w:t xml:space="preserve">на закрытых участках тела;</w:t>
      </w:r>
    </w:p>
    <w:p>
      <w:pPr>
        <w:pStyle w:val="0"/>
        <w:spacing w:before="200" w:line-rule="auto"/>
        <w:ind w:firstLine="540"/>
        <w:jc w:val="both"/>
      </w:pPr>
      <w:r>
        <w:rPr>
          <w:sz w:val="20"/>
        </w:rPr>
        <w:t xml:space="preserve">размер (площадь нанесения) не более - 10 x 10 см;</w:t>
      </w:r>
    </w:p>
    <w:p>
      <w:pPr>
        <w:pStyle w:val="0"/>
        <w:spacing w:before="200" w:line-rule="auto"/>
        <w:ind w:firstLine="540"/>
        <w:jc w:val="both"/>
      </w:pPr>
      <w:r>
        <w:rPr>
          <w:sz w:val="20"/>
        </w:rPr>
        <w:t xml:space="preserve">с символикой, не содержащей агрессивной, антинационалистической, террористической тематики.</w:t>
      </w:r>
    </w:p>
    <w:p>
      <w:pPr>
        <w:pStyle w:val="0"/>
        <w:spacing w:before="200" w:line-rule="auto"/>
        <w:ind w:firstLine="540"/>
        <w:jc w:val="both"/>
      </w:pPr>
      <w:r>
        <w:rPr>
          <w:sz w:val="20"/>
        </w:rPr>
        <w:t xml:space="preserve">Медицинский психолог выясняет: личностно значимый смысл изображения; возраст, в котором изображение было нанесено; мотивы.</w:t>
      </w:r>
    </w:p>
    <w:p>
      <w:pPr>
        <w:pStyle w:val="0"/>
        <w:spacing w:before="200" w:line-rule="auto"/>
        <w:ind w:firstLine="540"/>
        <w:jc w:val="both"/>
      </w:pPr>
      <w:r>
        <w:rPr>
          <w:sz w:val="20"/>
        </w:rPr>
        <w:t xml:space="preserve">Абзац утратил силу. - </w:t>
      </w:r>
      <w:hyperlink w:history="0" r:id="rId10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w:t>
        </w:r>
      </w:hyperlink>
      <w:r>
        <w:rPr>
          <w:sz w:val="20"/>
        </w:rPr>
        <w:t xml:space="preserve"> Минтранса России от 16.04.2024 N 128.</w:t>
      </w:r>
    </w:p>
    <w:p>
      <w:pPr>
        <w:pStyle w:val="0"/>
        <w:spacing w:before="200" w:line-rule="auto"/>
        <w:ind w:firstLine="540"/>
        <w:jc w:val="both"/>
      </w:pPr>
      <w:r>
        <w:rPr>
          <w:sz w:val="20"/>
        </w:rPr>
        <w:t xml:space="preserve">206. Психологическое обследование является частью проводимого обязательного медицинского освидетельствования.</w:t>
      </w:r>
    </w:p>
    <w:p>
      <w:pPr>
        <w:pStyle w:val="0"/>
        <w:jc w:val="both"/>
      </w:pPr>
      <w:r>
        <w:rPr>
          <w:sz w:val="20"/>
        </w:rPr>
        <w:t xml:space="preserve">(п. 206 в ред. </w:t>
      </w:r>
      <w:hyperlink w:history="0" r:id="rId10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2"/>
        <w:jc w:val="center"/>
      </w:pPr>
      <w:r>
        <w:rPr>
          <w:sz w:val="20"/>
        </w:rPr>
        <w:t xml:space="preserve">XIII. Неврология (G00 - G99)</w:t>
      </w:r>
    </w:p>
    <w:p>
      <w:pPr>
        <w:pStyle w:val="0"/>
        <w:jc w:val="both"/>
      </w:pPr>
      <w:r>
        <w:rPr>
          <w:sz w:val="20"/>
        </w:rPr>
      </w:r>
    </w:p>
    <w:p>
      <w:pPr>
        <w:pStyle w:val="0"/>
        <w:ind w:firstLine="540"/>
        <w:jc w:val="both"/>
      </w:pPr>
      <w:r>
        <w:rPr>
          <w:sz w:val="20"/>
        </w:rPr>
        <w:t xml:space="preserve">207. В случае если кандидаты на получение медицинского заключения не имеют неврологического заболевания, которое может помешать безопасному выполнению профессиональных обязанностей, предусмотренных соответствующим свидетельством, они признаются годными к обучению и работе. При оценке стадии заболевания учитывается степень декомпенсации с оценкой ведущих симптомов функционирования и ограничения деятельности нервной системы (обратимых или необратимых), от чего зависит вынесение экспертного решения (годность; лечение; негодность).</w:t>
      </w:r>
    </w:p>
    <w:p>
      <w:pPr>
        <w:pStyle w:val="0"/>
        <w:jc w:val="both"/>
      </w:pPr>
      <w:r>
        <w:rPr>
          <w:sz w:val="20"/>
        </w:rPr>
      </w:r>
    </w:p>
    <w:p>
      <w:pPr>
        <w:pStyle w:val="2"/>
        <w:outlineLvl w:val="3"/>
        <w:jc w:val="center"/>
      </w:pPr>
      <w:r>
        <w:rPr>
          <w:sz w:val="20"/>
        </w:rPr>
        <w:t xml:space="preserve">Эпилептические приступы и изменения ЭЭГ (G40 - G42)</w:t>
      </w:r>
    </w:p>
    <w:p>
      <w:pPr>
        <w:pStyle w:val="0"/>
        <w:jc w:val="both"/>
      </w:pPr>
      <w:r>
        <w:rPr>
          <w:sz w:val="20"/>
        </w:rPr>
      </w:r>
    </w:p>
    <w:p>
      <w:pPr>
        <w:pStyle w:val="0"/>
        <w:ind w:firstLine="540"/>
        <w:jc w:val="both"/>
      </w:pPr>
      <w:r>
        <w:rPr>
          <w:sz w:val="20"/>
        </w:rPr>
        <w:t xml:space="preserve">208. Кандидаты на получение медицинского заключения с клиническим диагнозом в анамнезе о наличии эпилепсии, рецидивирующих приступах потерь сознания неуточненного генеза рассматриваются как не годные к работе и обучению.</w:t>
      </w:r>
    </w:p>
    <w:p>
      <w:pPr>
        <w:pStyle w:val="0"/>
        <w:spacing w:before="200" w:line-rule="auto"/>
        <w:ind w:firstLine="540"/>
        <w:jc w:val="both"/>
      </w:pPr>
      <w:r>
        <w:rPr>
          <w:sz w:val="20"/>
        </w:rPr>
        <w:t xml:space="preserve">Кандидаты на получение медицинского заключения проходят обследование в неврологическом отделении медицинской организации, находящейся в ведении уполномоченного органа, перед проведением оценки на годность к обучению и работе с клиническим диагнозом или записью в истории болезни о наличии эпилепсии без рецидивирующих приступов с 5-летнего возраста; эпилепсии без рецидивирующих приступов и сроком после прекращения лечения более 10 лет; отсутствии изменений электроэнцефалографии ЭЭГ, не исключающих факторов риска развития эпилептических приступов и без регистрации фокальных медленных волн, без уточненной причины; прогрессирующей или непрогрессирующей болезни нервной системы; единичного эпизода потери сознания неуточненной этиологии; потери сознания после (головной) черепно-мозговой травмы; проникающей травмы головы с поражением головного мозга; повреждения периферического нерва или спинного мозга. Отсутствие риска рецидива эпилептического приступа без применения лекарственных средств не исключает вынесения заключения о годности по всем классам требований.</w:t>
      </w:r>
    </w:p>
    <w:p>
      <w:pPr>
        <w:pStyle w:val="0"/>
        <w:jc w:val="both"/>
      </w:pPr>
      <w:r>
        <w:rPr>
          <w:sz w:val="20"/>
        </w:rPr>
        <w:t xml:space="preserve">(в ред. </w:t>
      </w:r>
      <w:hyperlink w:history="0" r:id="rId10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209. При выявлении пароксизмальнои, эпилептоидной активности и значительно выраженных изменений на ЭЭГ кандидаты на получение медицинского заключения признаются не годными к обучению и работе. Кандидаты на получение медицинского заключения с впервые выявленной пароксизмальнои активностью на ЭЭГ типа "пик-медленная волна" при отсутствии других признаков эпилепсии или органического заболевания центральной нервной системы (далее - ЦНС, НС) признаются не годными к обучению и работе сроком на 3 месяца с последующим расширенным обследованием в неврологическом отделении медицинской организации, находящейся в ведении уполномоченного органа. Стабильность указанных изменений на ЭЭГ после уточнения причины вызываемых изменений с низким риском развития рецидивов потерь сознания, не дают оснований для отстранения от работы.</w:t>
      </w:r>
    </w:p>
    <w:p>
      <w:pPr>
        <w:pStyle w:val="0"/>
        <w:jc w:val="both"/>
      </w:pPr>
      <w:r>
        <w:rPr>
          <w:sz w:val="20"/>
        </w:rPr>
        <w:t xml:space="preserve">(в ред. </w:t>
      </w:r>
      <w:hyperlink w:history="0" r:id="rId10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210. Подтвержденный диагноз эпилепсии определяет негодность к обучению и работе (G40 - G42).</w:t>
      </w:r>
    </w:p>
    <w:p>
      <w:pPr>
        <w:pStyle w:val="0"/>
        <w:spacing w:before="200" w:line-rule="auto"/>
        <w:ind w:firstLine="540"/>
        <w:jc w:val="both"/>
      </w:pPr>
      <w:r>
        <w:rPr>
          <w:sz w:val="20"/>
        </w:rPr>
        <w:t xml:space="preserve">211. При однократных эпилептических припадках неуточненной этиологии, при симптоматической эпилепсии экспертная оценка зависит от основного заболевания. Сроки наблюдения после перенесенного эпилептического приступа неустановленной этиологии до возврата к повторному рассмотрению вопроса о допуске - не менее 2 лет (осложнения ЧМТ, сосудистых заболеваний, интоксикаций, резидуальных поражений головного мозга раннего детского периода и другие, при которых код </w:t>
      </w:r>
      <w:hyperlink w:history="0" r:id="rId10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выносится по основному заболеванию).</w:t>
      </w:r>
    </w:p>
    <w:p>
      <w:pPr>
        <w:pStyle w:val="0"/>
        <w:jc w:val="both"/>
      </w:pPr>
      <w:r>
        <w:rPr>
          <w:sz w:val="20"/>
        </w:rPr>
      </w:r>
    </w:p>
    <w:p>
      <w:pPr>
        <w:pStyle w:val="2"/>
        <w:outlineLvl w:val="3"/>
        <w:jc w:val="center"/>
      </w:pPr>
      <w:r>
        <w:rPr>
          <w:sz w:val="20"/>
        </w:rPr>
        <w:t xml:space="preserve">Сосудистые поражения головного мозга и спинного мозга</w:t>
      </w:r>
    </w:p>
    <w:p>
      <w:pPr>
        <w:pStyle w:val="2"/>
        <w:jc w:val="center"/>
      </w:pPr>
      <w:r>
        <w:rPr>
          <w:sz w:val="20"/>
        </w:rPr>
        <w:t xml:space="preserve">(I60; I61; I62; I63; I64; I65; I67; I68; I69; G45; G95)</w:t>
      </w:r>
    </w:p>
    <w:p>
      <w:pPr>
        <w:pStyle w:val="0"/>
        <w:jc w:val="both"/>
      </w:pPr>
      <w:r>
        <w:rPr>
          <w:sz w:val="20"/>
        </w:rPr>
      </w:r>
    </w:p>
    <w:bookmarkStart w:id="1422" w:name="P1422"/>
    <w:bookmarkEnd w:id="1422"/>
    <w:p>
      <w:pPr>
        <w:pStyle w:val="0"/>
        <w:ind w:firstLine="540"/>
        <w:jc w:val="both"/>
      </w:pPr>
      <w:r>
        <w:rPr>
          <w:sz w:val="20"/>
        </w:rPr>
        <w:t xml:space="preserve">212.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в единичных случаях не исключают возможность выполнения профессиональных обязанностей при отсутствии факторов риска рецидивирования после полного выздоровления без остаточных симптомов.</w:t>
      </w:r>
    </w:p>
    <w:p>
      <w:pPr>
        <w:pStyle w:val="0"/>
        <w:spacing w:before="200" w:line-rule="auto"/>
        <w:ind w:firstLine="540"/>
        <w:jc w:val="both"/>
      </w:pPr>
      <w:r>
        <w:rPr>
          <w:sz w:val="20"/>
        </w:rPr>
        <w:t xml:space="preserve">Оценка годности кандидата на получение медицинского заключения 1 класса проводится при медицинском освидетельствовании в ЦВЛЭК ГА через 6 месяцев после перенесенных состояний и заболеваний, перечисленных в </w:t>
      </w:r>
      <w:hyperlink w:history="0" w:anchor="P1422" w:tooltip="212.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в единичных случаях не исключают возможность выполнения профессиональных обязанностей при отсутствии факторов риска рецидивирования после полного выздоровления без остаточных симптомов.">
        <w:r>
          <w:rPr>
            <w:sz w:val="20"/>
            <w:color w:val="0000ff"/>
          </w:rPr>
          <w:t xml:space="preserve">абзаце первом</w:t>
        </w:r>
      </w:hyperlink>
      <w:r>
        <w:rPr>
          <w:sz w:val="20"/>
        </w:rPr>
        <w:t xml:space="preserve"> настоящего пункта, и после медицинского обследования в стационарных условиях медицинской организации, находящейся в ведении уполномоченного органа.</w:t>
      </w:r>
    </w:p>
    <w:p>
      <w:pPr>
        <w:pStyle w:val="0"/>
        <w:jc w:val="both"/>
      </w:pPr>
      <w:r>
        <w:rPr>
          <w:sz w:val="20"/>
        </w:rPr>
        <w:t xml:space="preserve">(абзац введен </w:t>
      </w:r>
      <w:hyperlink w:history="0" r:id="rId10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213. Сосудистые поражения головного и спинного мозга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риска возникновения острых состояний, влияющих на безопасность полетов.</w:t>
      </w:r>
    </w:p>
    <w:p>
      <w:pPr>
        <w:pStyle w:val="0"/>
        <w:spacing w:before="200" w:line-rule="auto"/>
        <w:ind w:firstLine="540"/>
        <w:jc w:val="both"/>
      </w:pPr>
      <w:r>
        <w:rPr>
          <w:sz w:val="20"/>
        </w:rPr>
        <w:t xml:space="preserve">214. Заключение выносится на основании оценки выраженности неврологических нарушений, степени стенозирования основных артериальных церебральных сосудов, состояния профессионально важных психологических функций, течения заболевания, факторов риска.</w:t>
      </w:r>
    </w:p>
    <w:p>
      <w:pPr>
        <w:pStyle w:val="0"/>
        <w:jc w:val="both"/>
      </w:pPr>
      <w:r>
        <w:rPr>
          <w:sz w:val="20"/>
        </w:rPr>
      </w:r>
    </w:p>
    <w:p>
      <w:pPr>
        <w:pStyle w:val="2"/>
        <w:outlineLvl w:val="3"/>
        <w:jc w:val="center"/>
      </w:pPr>
      <w:r>
        <w:rPr>
          <w:sz w:val="20"/>
        </w:rPr>
        <w:t xml:space="preserve">Экспертиза при сосудистых заболеваниях</w:t>
      </w:r>
    </w:p>
    <w:p>
      <w:pPr>
        <w:pStyle w:val="0"/>
        <w:jc w:val="both"/>
      </w:pPr>
      <w:r>
        <w:rPr>
          <w:sz w:val="20"/>
        </w:rPr>
      </w:r>
    </w:p>
    <w:p>
      <w:pPr>
        <w:pStyle w:val="0"/>
        <w:ind w:firstLine="540"/>
        <w:jc w:val="both"/>
      </w:pPr>
      <w:r>
        <w:rPr>
          <w:sz w:val="20"/>
        </w:rPr>
        <w:t xml:space="preserve">215. Легкая рассеянная микросимптоматика в неврологическом статусе и возраст не являются основаниями для вынесения диагноза церебрального атеросклероза, предусматривающего негодность к обучению и работе, кроме выявления у абитуриентов, которые признаются не годными к обучению (I67.2).</w:t>
      </w:r>
    </w:p>
    <w:p>
      <w:pPr>
        <w:pStyle w:val="0"/>
        <w:spacing w:before="200" w:line-rule="auto"/>
        <w:ind w:firstLine="540"/>
        <w:jc w:val="both"/>
      </w:pPr>
      <w:r>
        <w:rPr>
          <w:sz w:val="20"/>
        </w:rPr>
        <w:t xml:space="preserve">216. При выявлении стабильных стенозов брахиоцефальных сосудов (БЦС) небольших и умеренных размеров (до 50%) и отсутствии изменений в неврологическом статусе, когнитивной сфере и по данным нейровизуализации (проводится по медицинским показаниям), исключающих органические поражения головного мозга (последствия инсульта, проявления дисциркуляторной энцефалопатии и другие) (I67.2) кандидаты на получение медицинского заключения признаются годными к профессиональной деятельности (кроме абитуриентов, которые признаются не годными к обучению).</w:t>
      </w:r>
    </w:p>
    <w:p>
      <w:pPr>
        <w:pStyle w:val="0"/>
        <w:jc w:val="both"/>
      </w:pPr>
      <w:r>
        <w:rPr>
          <w:sz w:val="20"/>
        </w:rPr>
        <w:t xml:space="preserve">(в ред. </w:t>
      </w:r>
      <w:hyperlink w:history="0" r:id="rId11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217. При обнаружении скрыто протекающего стеноза (50% и более) (I65 - I67.0 - I67.1), выявлении эмбологенной нестабильной а/с бляшки принимается решение о негодности по всем классам требований. Пациент направляется на дообследование к неврологу ЦВЛЭК. Решение о тактике ведения лечения пациента принимается после консультации у сосудистого хирурга.</w:t>
      </w:r>
    </w:p>
    <w:p>
      <w:pPr>
        <w:pStyle w:val="0"/>
        <w:spacing w:before="200" w:line-rule="auto"/>
        <w:ind w:firstLine="540"/>
        <w:jc w:val="both"/>
      </w:pPr>
      <w:r>
        <w:rPr>
          <w:sz w:val="20"/>
        </w:rPr>
        <w:t xml:space="preserve">218. Решение о консервативном ведении лечения пациента сроком до 3 месяцев выносится по предложению невролога после дообследования по согласованию со специалистами ЦВЛЭК.</w:t>
      </w:r>
    </w:p>
    <w:p>
      <w:pPr>
        <w:pStyle w:val="0"/>
        <w:spacing w:before="200" w:line-rule="auto"/>
        <w:ind w:firstLine="540"/>
        <w:jc w:val="both"/>
      </w:pPr>
      <w:r>
        <w:rPr>
          <w:sz w:val="20"/>
        </w:rPr>
        <w:t xml:space="preserve">219. При наличии необходимости оперативной коррекции выявленных атеросклеротических стенозов выносится решение о негодности к обучению и работе по всем классам требований. Медицинское освидетельствование возможно после 12 месяцев наблюдения после обследования и оценки эффективности лечения в неврологическом отделении медицинской организации, находящейся в ведении уполномоченного органа, оценка годности к обучению и работе возможна в ЦВЛЭК ГА с выдачей официального медицинского заключения (I67.2).</w:t>
      </w:r>
    </w:p>
    <w:p>
      <w:pPr>
        <w:pStyle w:val="0"/>
        <w:jc w:val="both"/>
      </w:pPr>
      <w:r>
        <w:rPr>
          <w:sz w:val="20"/>
        </w:rPr>
        <w:t xml:space="preserve">(в ред. </w:t>
      </w:r>
      <w:hyperlink w:history="0" r:id="rId11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220. В случае диагностики лакунарного ишемического инсульта (ИИ) для рассмотрения возможности оценки годности к обучению и работе требуется период наблюдения без регистрации рецидивирующего течения, продолжительность которого зависит от механизма развития заболевания и сопутствующих факторов риска (12 - 24 месяцев). Принятие положительного решения о допуске к обучению и работе возможно после обследования в стационаре медицинской организации, находящейся в ведении уполномоченного органа, консультации невролога ЦВЛЭК ГА (I69).</w:t>
      </w:r>
    </w:p>
    <w:p>
      <w:pPr>
        <w:pStyle w:val="0"/>
        <w:jc w:val="both"/>
      </w:pPr>
      <w:r>
        <w:rPr>
          <w:sz w:val="20"/>
        </w:rPr>
        <w:t xml:space="preserve">(в ред. </w:t>
      </w:r>
      <w:hyperlink w:history="0" r:id="rId11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221. После инсульта у молодых людей (открытое овальное окно после хирургического лечения), при отсутствии осложнений со стороны когнитивной сферы и поражений головного мозга возможно принятие решения о годности к обучению и работе. В остальных случаях принимается решение о негодности к обучению и работе без права восстановления.</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222. В случае геморрагического инсульта (ГИ) (I60 - I62.9) назначается период наблюдения до 2 лет с последующей оценкой сохранности функций центральной и периферической нервной системы. Наличие факторов риска и сопутствующих заболеваний, приводящих к рецидивирующему течению, является основанием для заключения о негодности к обучению и работе без права восстановления в последующем по всем классам требований.</w:t>
      </w:r>
    </w:p>
    <w:p>
      <w:pPr>
        <w:pStyle w:val="0"/>
        <w:spacing w:before="200" w:line-rule="auto"/>
        <w:ind w:firstLine="540"/>
        <w:jc w:val="both"/>
      </w:pPr>
      <w:r>
        <w:rPr>
          <w:sz w:val="20"/>
        </w:rPr>
        <w:t xml:space="preserve">223. Основанием для принятия решения о негодности являются: субарахноидальное кровоизлияние (САК) или изменения сосудистой системы головного мозга (артериальные аневризмы церебральных сосудов (I60); сосудистые мальформации ЦНС (I67.1): артерио-венозные мальформации, каверномы (D18.0), артериовенозные фистулы; аномалии сосудистой системы мозга: болезнь Нисимото, расслаивающаяся аневризма церебральных сосудов (I67.0); вторичные причины: артериальная гипертензия (I10 - I15.9); васкулиты (I73.1; M30.1 - M35.2); болезни крови; нарушение свертывающей системы на фоне приема антикоагулянтов, дезагрегантов (D68.8 - D75.2; D47.3) и других препаратов, угрожающих развитию САК.</w:t>
      </w:r>
    </w:p>
    <w:p>
      <w:pPr>
        <w:pStyle w:val="0"/>
        <w:spacing w:before="200" w:line-rule="auto"/>
        <w:ind w:firstLine="540"/>
        <w:jc w:val="both"/>
      </w:pPr>
      <w:r>
        <w:rPr>
          <w:sz w:val="20"/>
        </w:rPr>
        <w:t xml:space="preserve">224. После хирургической коррекции аневризм сосудов головного мозга (I69.0; I69.3; I69.4) при отсутствии признаков последствий кровоизлияний в виде очаговой неврологической симптоматики, судорожных припадков и нарушений когнитивных функций через 12 месяцев возможно проведение медицинского освидетельствования ЦВЛЭК ГА после стационарного обследования в неврологическом отделении медицинской организации, находящейся в ведении уполномоченного органа.</w:t>
      </w:r>
    </w:p>
    <w:p>
      <w:pPr>
        <w:pStyle w:val="0"/>
        <w:jc w:val="both"/>
      </w:pPr>
      <w:r>
        <w:rPr>
          <w:sz w:val="20"/>
        </w:rPr>
        <w:t xml:space="preserve">(в ред. </w:t>
      </w:r>
      <w:hyperlink w:history="0" r:id="rId11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Абитуриенты признаются не годными к обучению без права восстановления.</w:t>
      </w:r>
    </w:p>
    <w:p>
      <w:pPr>
        <w:pStyle w:val="0"/>
        <w:spacing w:before="200" w:line-rule="auto"/>
        <w:ind w:firstLine="540"/>
        <w:jc w:val="both"/>
      </w:pPr>
      <w:r>
        <w:rPr>
          <w:sz w:val="20"/>
        </w:rPr>
        <w:t xml:space="preserve">225. Кандидаты на получение медицинского заключения с органическими заболеваниями нервной системы (опухоли (C69 - C72; C47), сирингомиелия (G95.0), рассеянный склероз (G35); болезнь Паркинсона (G20; G21)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(A80 - A89; B0 - B24) с нарушением функций, ликвородинамическими нарушениями, судорожными припадками), заболеваниями нервно-мышечного аппарата (G12 - G12.9) (миастения G70 - G73, миопатия G73.4; G73.7, миотония G71.1, миоплегия) признаются не годными к обучению и работе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после медицинского обследования в стационарных условиях неврологического отделения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(в ред. </w:t>
      </w:r>
      <w:hyperlink w:history="0" r:id="rId11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226. Кандидаты на получение медицинского заключения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а также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1 год наблюдения по результатам расширенного неврологического обследования на базе неврологического отделения медицинской организации, находящейся в ведении уполномоченного органа. Вынесение экспертного решения о допуске возможно при медленно прогредиентном течении и изменениях по данным клинического и инструментального исследований с учетом отсутствия возникновения угрозы безопасности полетов и управлению воздушным движением.</w:t>
      </w:r>
    </w:p>
    <w:p>
      <w:pPr>
        <w:pStyle w:val="0"/>
        <w:jc w:val="both"/>
      </w:pPr>
      <w:r>
        <w:rPr>
          <w:sz w:val="20"/>
        </w:rPr>
        <w:t xml:space="preserve">(в ред. </w:t>
      </w:r>
      <w:hyperlink w:history="0" r:id="rId11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В случае функциональной сохранности деятельности ЦНС и периферической НС выносится решение о возможном допуске к обучению и работе по всем классам требований. Абитуриенты признаются не годными к обучению.</w:t>
      </w:r>
    </w:p>
    <w:p>
      <w:pPr>
        <w:pStyle w:val="0"/>
        <w:spacing w:before="200" w:line-rule="auto"/>
        <w:ind w:firstLine="540"/>
        <w:jc w:val="both"/>
      </w:pPr>
      <w:r>
        <w:rPr>
          <w:sz w:val="20"/>
        </w:rPr>
        <w:t xml:space="preserve">227. Кандидаты на получение медицинского заключения с доброкачественными внутричерепными образованиями после полного успешного удаления внутримозгового образования через 12 месяцев наблюдения могут быть допущены к медицинскому освидетельствованию ЦВЛЭК ГА. С учетом клинических проявлений, отсутствия поражений соседних органов и систем (зрительного, слухового анализатора, гормональных нарушений и другие), при отсутствии судорожных припадков после обследования в неврологическом или нейрохирургическом отделении медицинской организации, находящейся в ведении уполномоченного органа, возможен допуск к профессиональной деятельности (D32.0; D36.1; D35.2; D35.4). В некоторых случаях при обнаружении доброкачественного образования небольших размеров (невринома 8 нерва; киста эпифиза; микроаденома гипофиза, менингиома и другие) без нарушения функций, отсутствии судорожных приступов, гормональных нарушений, отсутствии нарушений ликвородинамики позволяется разрешить выдачу положительного медицинского заключения без хирургического лечения. Абитуриенты признаются не годными к обучению.</w:t>
      </w:r>
    </w:p>
    <w:p>
      <w:pPr>
        <w:pStyle w:val="0"/>
        <w:jc w:val="both"/>
      </w:pPr>
      <w:r>
        <w:rPr>
          <w:sz w:val="20"/>
        </w:rPr>
        <w:t xml:space="preserve">(в ред. </w:t>
      </w:r>
      <w:hyperlink w:history="0" r:id="rId11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228. Наличие злокачественного внутричерепного образования является основанием для отказа в выдаче медицинского заключения любого класса (C69 - C72; C47).</w:t>
      </w:r>
    </w:p>
    <w:p>
      <w:pPr>
        <w:pStyle w:val="0"/>
        <w:spacing w:before="200" w:line-rule="auto"/>
        <w:ind w:firstLine="540"/>
        <w:jc w:val="both"/>
      </w:pPr>
      <w:r>
        <w:rPr>
          <w:sz w:val="20"/>
        </w:rPr>
        <w:t xml:space="preserve">229. Кандидаты на получение медицинского заключения, перенесшие инфекционное или интоксикационное заболевание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могут быть допущены к работе. Вопрос о восстановлении на летную работу решается: после гриппозного энцефалита (G00.0) - не ранее чем через 1 - 2 года; острого энцефаломиелита (A85) - не ранее чем через 2 года; острого клещевого энцефалита (A84) - не ранее чем через 3 года.</w:t>
      </w:r>
    </w:p>
    <w:p>
      <w:pPr>
        <w:pStyle w:val="0"/>
        <w:spacing w:before="200" w:line-rule="auto"/>
        <w:ind w:firstLine="540"/>
        <w:jc w:val="both"/>
      </w:pPr>
      <w:r>
        <w:rPr>
          <w:sz w:val="20"/>
        </w:rPr>
        <w:t xml:space="preserve">230. Кандидаты на получение медицинского заключения, переболевшие эпидемическим цереброспинальным менингитом, признаются не годными к обучению и работе с правом восстановления через 1 год.</w:t>
      </w:r>
    </w:p>
    <w:p>
      <w:pPr>
        <w:pStyle w:val="0"/>
        <w:spacing w:before="200" w:line-rule="auto"/>
        <w:ind w:firstLine="540"/>
        <w:jc w:val="both"/>
      </w:pPr>
      <w:r>
        <w:rPr>
          <w:sz w:val="20"/>
        </w:rPr>
        <w:t xml:space="preserve">231. Эссенциальный тремор (G25.0) не является дисквалифицирующим фактором, кроме случаев, ведущих к значительным функциональным нарушениям, препятствующим осуществлению профессиональной деятельности.</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232. Признаются не годными к обучению и работе без права признания годности в последующем кандидаты на получение медицинского заключения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синдромами; последствия травмы спинного мозга с двигательными, чувствительными нарушениями или тазовыми расстройствами (S02.0; S06.1 - S06.9; S14.1).</w:t>
      </w:r>
    </w:p>
    <w:p>
      <w:pPr>
        <w:pStyle w:val="0"/>
        <w:spacing w:before="200" w:line-rule="auto"/>
        <w:ind w:firstLine="540"/>
        <w:jc w:val="both"/>
      </w:pPr>
      <w:r>
        <w:rPr>
          <w:sz w:val="20"/>
        </w:rPr>
        <w:t xml:space="preserve">233. Медицинское освидетельствование кандидатов на получение медицинского заключения,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1 год после травмы с ограничением OML в течение 3 лет (S06.2; S06.3), перенесших сотрясение или легкую степень ушиба головного мозга - через 3 - 6 месяцев после травмы (S06.0).</w:t>
      </w:r>
    </w:p>
    <w:p>
      <w:pPr>
        <w:pStyle w:val="0"/>
        <w:spacing w:before="200" w:line-rule="auto"/>
        <w:ind w:firstLine="540"/>
        <w:jc w:val="both"/>
      </w:pPr>
      <w:r>
        <w:rPr>
          <w:sz w:val="20"/>
        </w:rPr>
        <w:t xml:space="preserve">234. При вынесении медицинского заключения учитывается длительность периода измененного сознания и амнезии. При прогнозировании возможности развития поздней посттравматической эпилепсии кроме характера и степени тяжести травмы учитываются и другие факторы риска (включая психологические и психические изменения). Оценка проводится с учетом анамнеза по результатам расширенного обследования, включая психологическое тестирование.</w:t>
      </w:r>
    </w:p>
    <w:p>
      <w:pPr>
        <w:pStyle w:val="0"/>
        <w:spacing w:before="200" w:line-rule="auto"/>
        <w:ind w:firstLine="540"/>
        <w:jc w:val="both"/>
      </w:pPr>
      <w:r>
        <w:rPr>
          <w:sz w:val="20"/>
        </w:rPr>
        <w:t xml:space="preserve">Оценка годности кандидата на получение медицинского заключения 1 класса при заболеваниях с кодом </w:t>
      </w:r>
      <w:hyperlink w:history="0" r:id="rId11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S06.2; S06.3 проводится с учетом анамнеза по результатам медицинского обследования в стационарных условиях медицинской организации, находящейся в ведении уполномоченного органа, включая психологическое тестирование, консультации врача-нейрохирурга и врача-психиатра, с последующим освидетельствованием в ЦВЛЭК ГА.</w:t>
      </w:r>
    </w:p>
    <w:p>
      <w:pPr>
        <w:pStyle w:val="0"/>
        <w:jc w:val="both"/>
      </w:pPr>
      <w:r>
        <w:rPr>
          <w:sz w:val="20"/>
        </w:rPr>
        <w:t xml:space="preserve">(абзац введен </w:t>
      </w:r>
      <w:hyperlink w:history="0" r:id="rId11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235.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обучению и работе (G90; M89.0; G99; I73.0; E22.0; E22.1; E22.2).</w:t>
      </w:r>
    </w:p>
    <w:p>
      <w:pPr>
        <w:pStyle w:val="0"/>
        <w:spacing w:before="200" w:line-rule="auto"/>
        <w:ind w:firstLine="540"/>
        <w:jc w:val="both"/>
      </w:pPr>
      <w:r>
        <w:rPr>
          <w:sz w:val="20"/>
        </w:rPr>
        <w:t xml:space="preserve">236. Кандидаты на получение медицинского заключения с дисфункцией конституционально-наследственного генеза, а также дисфункцией, возникшей на фоне гормональной перестройки или после перенесенной соматической патологии, могут быть признаны годными к обучению и работе в стадии стойкой ремиссии на момент обследования (2 - 3 месяца после излечения основного заболевания (G99.1; G43).</w:t>
      </w:r>
    </w:p>
    <w:p>
      <w:pPr>
        <w:pStyle w:val="0"/>
        <w:spacing w:before="200" w:line-rule="auto"/>
        <w:ind w:firstLine="540"/>
        <w:jc w:val="both"/>
      </w:pPr>
      <w:r>
        <w:rPr>
          <w:sz w:val="20"/>
        </w:rPr>
        <w:t xml:space="preserve">237. Заболевания и повреждения периферической нервной системы - хронические с частыми обострениями (2 и более раз в наблюдаемом году) при наличии расстройства движения, чувствительности, трофики и стойкого болевого синдрома являются поводом для вынесения решения о негодности к обучению и работе (M54 - M54.9; G54.0 - G54.8; G61.0; G62; G63.2* (E10 - E14+); G63.3; G63.8; G63.0).</w:t>
      </w:r>
    </w:p>
    <w:p>
      <w:pPr>
        <w:pStyle w:val="0"/>
        <w:spacing w:before="200" w:line-rule="auto"/>
        <w:ind w:firstLine="540"/>
        <w:jc w:val="both"/>
      </w:pPr>
      <w:r>
        <w:rPr>
          <w:sz w:val="20"/>
        </w:rPr>
        <w:t xml:space="preserve">238. Кандидаты на получение медицинского заключения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 годными к обучению.</w:t>
      </w:r>
    </w:p>
    <w:p>
      <w:pPr>
        <w:pStyle w:val="0"/>
        <w:spacing w:before="200" w:line-rule="auto"/>
        <w:ind w:firstLine="540"/>
        <w:jc w:val="both"/>
      </w:pPr>
      <w:r>
        <w:rPr>
          <w:sz w:val="20"/>
        </w:rPr>
        <w:t xml:space="preserve">239. После удаления грыжи межпозвонкового диска освидетельствование проводится через 3 - 6 месяцев после операции с учетом характера операции и течения послеоперационного периода.</w:t>
      </w:r>
    </w:p>
    <w:p>
      <w:pPr>
        <w:pStyle w:val="0"/>
        <w:spacing w:before="200" w:line-rule="auto"/>
        <w:ind w:firstLine="540"/>
        <w:jc w:val="both"/>
      </w:pPr>
      <w:r>
        <w:rPr>
          <w:sz w:val="20"/>
        </w:rPr>
        <w:t xml:space="preserve">240. При наличии заболевания, сопровождающегося обмороками (G90), годность к обучению и работе определяется в зависимости от основного заболевания.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противопоказанием для кандидатов на получение медицинского заключения, поступающих на учебу.</w:t>
      </w:r>
    </w:p>
    <w:p>
      <w:pPr>
        <w:pStyle w:val="0"/>
        <w:spacing w:before="200" w:line-rule="auto"/>
        <w:ind w:firstLine="540"/>
        <w:jc w:val="both"/>
      </w:pPr>
      <w:r>
        <w:rPr>
          <w:sz w:val="20"/>
        </w:rPr>
        <w:t xml:space="preserve">241. Кандидаты на получение медицинского заключения, перенесшие синкопальные состояния (обмороки), отстраняются от работы и направляются на обследование в неврологическое отделение медицинской организации, находящейся в ведении уполномоченного органа. Возможность выдачи положительного медицинского заключения рассматривается, если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3 месяцев до 1 года.</w:t>
      </w:r>
    </w:p>
    <w:p>
      <w:pPr>
        <w:pStyle w:val="0"/>
        <w:jc w:val="both"/>
      </w:pPr>
      <w:r>
        <w:rPr>
          <w:sz w:val="20"/>
        </w:rPr>
        <w:t xml:space="preserve">(в ред. </w:t>
      </w:r>
      <w:hyperlink w:history="0" r:id="rId11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242. При одно-двухкратном полностью объясненном доброкачественном эпизоде кандидат на получение медицинского заключения подлежит трехмесячному периоду наблюдения. При множественных повторяющихся эпизодах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243. Возврат к положительному решению о допуске возможен после 2 лет наблюдения и повторного расширенного обследования.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кандидаты на получение медицинского заключения признаются не годными к обучению и работе.</w:t>
      </w:r>
    </w:p>
    <w:p>
      <w:pPr>
        <w:pStyle w:val="0"/>
        <w:jc w:val="both"/>
      </w:pPr>
      <w:r>
        <w:rPr>
          <w:sz w:val="20"/>
        </w:rPr>
      </w:r>
    </w:p>
    <w:p>
      <w:pPr>
        <w:pStyle w:val="2"/>
        <w:outlineLvl w:val="2"/>
        <w:jc w:val="center"/>
      </w:pPr>
      <w:r>
        <w:rPr>
          <w:sz w:val="20"/>
        </w:rPr>
        <w:t xml:space="preserve">XIV. Офтальмология (H00 - H59)</w:t>
      </w:r>
    </w:p>
    <w:p>
      <w:pPr>
        <w:pStyle w:val="0"/>
        <w:jc w:val="both"/>
      </w:pPr>
      <w:r>
        <w:rPr>
          <w:sz w:val="20"/>
        </w:rPr>
      </w:r>
    </w:p>
    <w:p>
      <w:pPr>
        <w:pStyle w:val="0"/>
        <w:ind w:firstLine="540"/>
        <w:jc w:val="both"/>
      </w:pPr>
      <w:r>
        <w:rPr>
          <w:sz w:val="20"/>
        </w:rPr>
        <w:t xml:space="preserve">244. У кандидата на получение медицинского заключения не должно быть нарушения функции зрения, заболеваний как врожденных, так и приобретенных, острых или хронических состояний или каких-либо осложнений после хирургических вмешательств, травмы глаза или его придаточного аппарата, которые могут привести к ослаблению зрительных функций в такой степени, при которой это может повлиять на выполнение профессиональных обязанностей.</w:t>
      </w:r>
    </w:p>
    <w:p>
      <w:pPr>
        <w:pStyle w:val="0"/>
        <w:spacing w:before="200" w:line-rule="auto"/>
        <w:ind w:firstLine="540"/>
        <w:jc w:val="both"/>
      </w:pPr>
      <w:r>
        <w:rPr>
          <w:sz w:val="20"/>
        </w:rPr>
        <w:t xml:space="preserve">245. У кандидата на получение медицинского заключения должно быть устойчивое бинокулярное зрение, нормальное поле зрения, внутриглазное давление, соответствующее норме.</w:t>
      </w:r>
    </w:p>
    <w:p>
      <w:pPr>
        <w:pStyle w:val="0"/>
        <w:spacing w:before="200" w:line-rule="auto"/>
        <w:ind w:firstLine="540"/>
        <w:jc w:val="both"/>
      </w:pPr>
      <w:r>
        <w:rPr>
          <w:sz w:val="20"/>
        </w:rPr>
        <w:t xml:space="preserve">246. Результаты исследования темновой адаптации и чувствительности к ослеплению должны соответствовать нормам, указанным в инструкции используемого прибора.</w:t>
      </w:r>
    </w:p>
    <w:p>
      <w:pPr>
        <w:pStyle w:val="0"/>
        <w:jc w:val="both"/>
      </w:pPr>
      <w:r>
        <w:rPr>
          <w:sz w:val="20"/>
        </w:rPr>
      </w:r>
    </w:p>
    <w:p>
      <w:pPr>
        <w:pStyle w:val="2"/>
        <w:outlineLvl w:val="3"/>
        <w:jc w:val="center"/>
      </w:pPr>
      <w:r>
        <w:rPr>
          <w:sz w:val="20"/>
        </w:rPr>
        <w:t xml:space="preserve">Острота зрения (H52)</w:t>
      </w:r>
    </w:p>
    <w:p>
      <w:pPr>
        <w:pStyle w:val="0"/>
        <w:jc w:val="both"/>
      </w:pPr>
      <w:r>
        <w:rPr>
          <w:sz w:val="20"/>
        </w:rPr>
      </w:r>
    </w:p>
    <w:p>
      <w:pPr>
        <w:pStyle w:val="0"/>
        <w:ind w:firstLine="540"/>
        <w:jc w:val="both"/>
      </w:pPr>
      <w:r>
        <w:rPr>
          <w:sz w:val="20"/>
        </w:rPr>
        <w:t xml:space="preserve">247. Проверку остроты зрения рекомендовано проводить в хорошо освещенной комнате, низких и высоких уровней освещенности следует избегать. Рекомендуемое расстояние для проверки остроты зрения вдаль - 5 - 6 метров.</w:t>
      </w:r>
    </w:p>
    <w:p>
      <w:pPr>
        <w:pStyle w:val="0"/>
        <w:spacing w:before="200" w:line-rule="auto"/>
        <w:ind w:firstLine="540"/>
        <w:jc w:val="both"/>
      </w:pPr>
      <w:r>
        <w:rPr>
          <w:sz w:val="20"/>
        </w:rPr>
        <w:t xml:space="preserve">248. Острота зрения вдаль исследуется монокулярно, бинокулярно; без коррекции, с коррекцией; указывается истинная острота зрения.</w:t>
      </w:r>
    </w:p>
    <w:p>
      <w:pPr>
        <w:pStyle w:val="0"/>
        <w:spacing w:before="200" w:line-rule="auto"/>
        <w:ind w:firstLine="540"/>
        <w:jc w:val="both"/>
      </w:pPr>
      <w:r>
        <w:rPr>
          <w:sz w:val="20"/>
        </w:rPr>
        <w:t xml:space="preserve">249. Для кандидатов на получение медицинского заключения пределы в отношении некорригированной остроты зрения не устанавливаются, острота зрения с коррекцией должна составлять 1.0 на каждый глаз, обязательно наличие нормального поля зрения.</w:t>
      </w:r>
    </w:p>
    <w:p>
      <w:pPr>
        <w:pStyle w:val="0"/>
        <w:spacing w:before="200" w:line-rule="auto"/>
        <w:ind w:firstLine="540"/>
        <w:jc w:val="both"/>
      </w:pPr>
      <w:r>
        <w:rPr>
          <w:sz w:val="20"/>
        </w:rPr>
        <w:t xml:space="preserve">250. Для кандидатов на получение медицинского заключения при первичном медицинском освидетельствовании (при поступлении в учебное заведение ГА/у обучающихся в учебных заведениях ГА), острота зрения должна быть не ниже 0.1 без коррекции, при условии, что достигается соответствующая коррекция остроты зрения 1,0 с помощью контактных линз и/или очков с соответствующими корригирующими линзами (при наличии нормального поля зрения и устойчивого бинокулярного зрения).</w:t>
      </w:r>
    </w:p>
    <w:p>
      <w:pPr>
        <w:pStyle w:val="0"/>
        <w:spacing w:before="200" w:line-rule="auto"/>
        <w:ind w:firstLine="540"/>
        <w:jc w:val="both"/>
      </w:pPr>
      <w:r>
        <w:rPr>
          <w:sz w:val="20"/>
        </w:rPr>
        <w:t xml:space="preserve">251. Кандидатам на получение медицинского заключения оптическая коррекция для дали (очки, контактные линзы) не требуется при следующих условиях:</w:t>
      </w:r>
    </w:p>
    <w:p>
      <w:pPr>
        <w:pStyle w:val="0"/>
        <w:spacing w:before="200" w:line-rule="auto"/>
        <w:ind w:firstLine="540"/>
        <w:jc w:val="both"/>
      </w:pPr>
      <w:r>
        <w:rPr>
          <w:sz w:val="20"/>
        </w:rPr>
        <w:t xml:space="preserve">при остроте зрения без коррекции на каждый глаз 0.7 и выше;</w:t>
      </w:r>
    </w:p>
    <w:p>
      <w:pPr>
        <w:pStyle w:val="0"/>
        <w:spacing w:before="200" w:line-rule="auto"/>
        <w:ind w:firstLine="540"/>
        <w:jc w:val="both"/>
      </w:pPr>
      <w:r>
        <w:rPr>
          <w:sz w:val="20"/>
        </w:rPr>
        <w:t xml:space="preserve">если острота зрения без коррекции менее 0.7 на один глаз, но при этом достигается острота бинокулярного зрения без коррекции 1.0 в том числе и в условиях темновой адаптации. Обязательно наличие устойчивого бинокулярного зрения.</w:t>
      </w:r>
    </w:p>
    <w:p>
      <w:pPr>
        <w:pStyle w:val="0"/>
        <w:spacing w:before="200" w:line-rule="auto"/>
        <w:ind w:firstLine="540"/>
        <w:jc w:val="both"/>
      </w:pPr>
      <w:r>
        <w:rPr>
          <w:sz w:val="20"/>
        </w:rPr>
        <w:t xml:space="preserve">252. Коррекция ошибки рефракции необходима в том случае, если острота некорригированного зрения на оба глаза ниже 0.7 или когда проявляются симптомы астенопии, которые объясняются ошибкой рефракции. Определение надлежащей оптической коррекции для лица с ошибкой рефракции должно проводиться квалифицированным офтальмологом.</w:t>
      </w:r>
    </w:p>
    <w:p>
      <w:pPr>
        <w:pStyle w:val="0"/>
        <w:spacing w:before="200" w:line-rule="auto"/>
        <w:ind w:firstLine="540"/>
        <w:jc w:val="both"/>
      </w:pPr>
      <w:r>
        <w:rPr>
          <w:sz w:val="20"/>
        </w:rPr>
        <w:t xml:space="preserve">253. В случаях когда вышеуказанная острота зрения достигается с помощью оптической коррекции, кандидат на получение медицинского заключения может быть признан годным при условии, что используемые корригирующие очки или контактные линзы допустимы при осуществлении функций, предусмотренных запрашиваемыми или имеющимися свидетельством или квалификационными отметками.</w:t>
      </w:r>
    </w:p>
    <w:p>
      <w:pPr>
        <w:pStyle w:val="0"/>
        <w:spacing w:before="200" w:line-rule="auto"/>
        <w:ind w:firstLine="540"/>
        <w:jc w:val="both"/>
      </w:pPr>
      <w:r>
        <w:rPr>
          <w:sz w:val="20"/>
        </w:rPr>
        <w:t xml:space="preserve">254. Кандидату на получение медицинского заключения с пресбиопией, который использует контактные линзы, может потребоваться назначение очков для чтения для их использования поверх контактных линз.</w:t>
      </w:r>
    </w:p>
    <w:p>
      <w:pPr>
        <w:pStyle w:val="0"/>
        <w:spacing w:before="200" w:line-rule="auto"/>
        <w:ind w:firstLine="540"/>
        <w:jc w:val="both"/>
      </w:pPr>
      <w:r>
        <w:rPr>
          <w:sz w:val="20"/>
        </w:rPr>
        <w:t xml:space="preserve">255. Не могут быть использованы перечисленные виды контактных линз:</w:t>
      </w:r>
    </w:p>
    <w:p>
      <w:pPr>
        <w:pStyle w:val="0"/>
        <w:spacing w:before="200" w:line-rule="auto"/>
        <w:ind w:firstLine="540"/>
        <w:jc w:val="both"/>
      </w:pPr>
      <w:r>
        <w:rPr>
          <w:sz w:val="20"/>
        </w:rPr>
        <w:t xml:space="preserve">ортокератологические линзы;</w:t>
      </w:r>
    </w:p>
    <w:p>
      <w:pPr>
        <w:pStyle w:val="0"/>
        <w:spacing w:before="200" w:line-rule="auto"/>
        <w:ind w:firstLine="540"/>
        <w:jc w:val="both"/>
      </w:pPr>
      <w:r>
        <w:rPr>
          <w:sz w:val="20"/>
        </w:rPr>
        <w:t xml:space="preserve">моновидение (если корригируют аметропию одного глаза на остроту зрения вдаль, а другой глаз используют без МКЛ для зрения вблизи);</w:t>
      </w:r>
    </w:p>
    <w:p>
      <w:pPr>
        <w:pStyle w:val="0"/>
        <w:spacing w:before="200" w:line-rule="auto"/>
        <w:ind w:firstLine="540"/>
        <w:jc w:val="both"/>
      </w:pPr>
      <w:r>
        <w:rPr>
          <w:sz w:val="20"/>
        </w:rPr>
        <w:t xml:space="preserve">мультифокальные контактные линзы;</w:t>
      </w:r>
    </w:p>
    <w:p>
      <w:pPr>
        <w:pStyle w:val="0"/>
        <w:spacing w:before="200" w:line-rule="auto"/>
        <w:ind w:firstLine="540"/>
        <w:jc w:val="both"/>
      </w:pPr>
      <w:r>
        <w:rPr>
          <w:sz w:val="20"/>
        </w:rPr>
        <w:t xml:space="preserve">косметические цветные линзы;</w:t>
      </w:r>
    </w:p>
    <w:p>
      <w:pPr>
        <w:pStyle w:val="0"/>
        <w:spacing w:before="200" w:line-rule="auto"/>
        <w:ind w:firstLine="540"/>
        <w:jc w:val="both"/>
      </w:pPr>
      <w:r>
        <w:rPr>
          <w:sz w:val="20"/>
        </w:rPr>
        <w:t xml:space="preserve">линзы для изменения цветового восприятия.</w:t>
      </w:r>
    </w:p>
    <w:p>
      <w:pPr>
        <w:pStyle w:val="0"/>
        <w:spacing w:before="200" w:line-rule="auto"/>
        <w:ind w:firstLine="540"/>
        <w:jc w:val="both"/>
      </w:pPr>
      <w:r>
        <w:rPr>
          <w:sz w:val="20"/>
        </w:rPr>
        <w:t xml:space="preserve">При авиахимических работах коррекция зрения с использованием контактных линз не допускается.</w:t>
      </w:r>
    </w:p>
    <w:p>
      <w:pPr>
        <w:pStyle w:val="0"/>
        <w:spacing w:before="200" w:line-rule="auto"/>
        <w:ind w:firstLine="540"/>
        <w:jc w:val="both"/>
      </w:pPr>
      <w:r>
        <w:rPr>
          <w:sz w:val="20"/>
        </w:rPr>
        <w:t xml:space="preserve">256. При выполнении профессиональных обязанностей может быть использовано не более одной пары очков (одна пара очков должна удовлетворять в полном объеме все визуальные задачи).</w:t>
      </w:r>
    </w:p>
    <w:p>
      <w:pPr>
        <w:pStyle w:val="0"/>
        <w:spacing w:before="200" w:line-rule="auto"/>
        <w:ind w:firstLine="540"/>
        <w:jc w:val="both"/>
      </w:pPr>
      <w:r>
        <w:rPr>
          <w:sz w:val="20"/>
        </w:rPr>
        <w:t xml:space="preserve">257. Все виды коррекции с использованием мультифокальных линз (очковой коррекции) приемлемы при условии, что они хорошо переносятся.</w:t>
      </w:r>
    </w:p>
    <w:p>
      <w:pPr>
        <w:pStyle w:val="0"/>
        <w:spacing w:before="200" w:line-rule="auto"/>
        <w:ind w:firstLine="540"/>
        <w:jc w:val="both"/>
      </w:pPr>
      <w:r>
        <w:rPr>
          <w:sz w:val="20"/>
        </w:rPr>
        <w:t xml:space="preserve">258. Контактные линзы должны быть монофокальными, неокрашенными и хорошо переносимыми.</w:t>
      </w:r>
    </w:p>
    <w:p>
      <w:pPr>
        <w:pStyle w:val="0"/>
        <w:jc w:val="both"/>
      </w:pPr>
      <w:r>
        <w:rPr>
          <w:sz w:val="20"/>
        </w:rPr>
      </w:r>
    </w:p>
    <w:p>
      <w:pPr>
        <w:pStyle w:val="2"/>
        <w:outlineLvl w:val="3"/>
        <w:jc w:val="center"/>
      </w:pPr>
      <w:r>
        <w:rPr>
          <w:sz w:val="20"/>
        </w:rPr>
        <w:t xml:space="preserve">Аккомодация (H52)</w:t>
      </w:r>
    </w:p>
    <w:p>
      <w:pPr>
        <w:pStyle w:val="0"/>
        <w:jc w:val="both"/>
      </w:pPr>
      <w:r>
        <w:rPr>
          <w:sz w:val="20"/>
        </w:rPr>
      </w:r>
    </w:p>
    <w:p>
      <w:pPr>
        <w:pStyle w:val="0"/>
        <w:ind w:firstLine="540"/>
        <w:jc w:val="both"/>
      </w:pPr>
      <w:r>
        <w:rPr>
          <w:sz w:val="20"/>
        </w:rPr>
        <w:t xml:space="preserve">259. Остроту зрения вблизи/на средней дистанции необходимо определять и регистрировать с корригирующими линзами (при необходимости) и без них.</w:t>
      </w:r>
    </w:p>
    <w:p>
      <w:pPr>
        <w:pStyle w:val="0"/>
        <w:spacing w:before="200" w:line-rule="auto"/>
        <w:ind w:firstLine="540"/>
        <w:jc w:val="both"/>
      </w:pPr>
      <w:r>
        <w:rPr>
          <w:sz w:val="20"/>
        </w:rPr>
        <w:t xml:space="preserve">260. Кандидаты на получение медицинского заключения должны вблизи читать таблицу N 5 (острота зрения 0.6) на расстоянии 30 - 50 см и таблицу N 8 (острота зрения 0.3) на расстоянии 100 см при необходимости с помощью коррекции.</w:t>
      </w:r>
    </w:p>
    <w:p>
      <w:pPr>
        <w:pStyle w:val="0"/>
        <w:jc w:val="both"/>
      </w:pPr>
      <w:r>
        <w:rPr>
          <w:sz w:val="20"/>
        </w:rPr>
      </w:r>
    </w:p>
    <w:p>
      <w:pPr>
        <w:pStyle w:val="2"/>
        <w:outlineLvl w:val="3"/>
        <w:jc w:val="center"/>
      </w:pPr>
      <w:r>
        <w:rPr>
          <w:sz w:val="20"/>
        </w:rPr>
        <w:t xml:space="preserve">Ошибка рефракции (H52)</w:t>
      </w:r>
    </w:p>
    <w:p>
      <w:pPr>
        <w:pStyle w:val="0"/>
        <w:jc w:val="both"/>
      </w:pPr>
      <w:r>
        <w:rPr>
          <w:sz w:val="20"/>
        </w:rPr>
      </w:r>
    </w:p>
    <w:bookmarkStart w:id="1510" w:name="P1510"/>
    <w:bookmarkEnd w:id="1510"/>
    <w:p>
      <w:pPr>
        <w:pStyle w:val="0"/>
        <w:ind w:firstLine="540"/>
        <w:jc w:val="both"/>
      </w:pPr>
      <w:r>
        <w:rPr>
          <w:sz w:val="20"/>
        </w:rPr>
        <w:t xml:space="preserve">261. Кандидаты на получение медицинского заключения должны быть признаны не годными к обучению и работе при отсутствии нормальной бинокулярной функции, отсутствии нормального поля зрения, наличии диплопии.</w:t>
      </w:r>
    </w:p>
    <w:p>
      <w:pPr>
        <w:pStyle w:val="0"/>
        <w:spacing w:before="200" w:line-rule="auto"/>
        <w:ind w:firstLine="540"/>
        <w:jc w:val="both"/>
      </w:pPr>
      <w:r>
        <w:rPr>
          <w:sz w:val="20"/>
        </w:rPr>
        <w:t xml:space="preserve">262. Кандидаты на получение медицинского заключения при поступлении в учебное заведение ГА подлежат проверке объективной рефракции в условиях циклоплегии (циклопентолат 1%, атропин 1%).</w:t>
      </w:r>
    </w:p>
    <w:p>
      <w:pPr>
        <w:pStyle w:val="0"/>
        <w:spacing w:before="200" w:line-rule="auto"/>
        <w:ind w:firstLine="540"/>
        <w:jc w:val="both"/>
      </w:pPr>
      <w:r>
        <w:rPr>
          <w:sz w:val="20"/>
        </w:rPr>
        <w:t xml:space="preserve">Кандидатам на получение медицинского заключения обследование в условиях циклоплегии проводится при наличии показаний (для диагностики офтальмологической патологии), при этом используются мидриатики короткого действия (тропикамид 1%).</w:t>
      </w:r>
    </w:p>
    <w:p>
      <w:pPr>
        <w:pStyle w:val="0"/>
        <w:spacing w:before="200" w:line-rule="auto"/>
        <w:ind w:firstLine="540"/>
        <w:jc w:val="both"/>
      </w:pPr>
      <w:r>
        <w:rPr>
          <w:sz w:val="20"/>
        </w:rPr>
        <w:t xml:space="preserve">263. Кандидат на получение медицинского заключения с перечисленными ниже ошибками рефракции может быть оценен как соответствующий требованиям при условии, что подобрана оптимальная, хорошо переносимая коррекция, при этом значительной офтальмологической патологии не выявлено.</w:t>
      </w:r>
    </w:p>
    <w:p>
      <w:pPr>
        <w:pStyle w:val="0"/>
        <w:spacing w:before="200" w:line-rule="auto"/>
        <w:ind w:firstLine="540"/>
        <w:jc w:val="both"/>
      </w:pPr>
      <w:r>
        <w:rPr>
          <w:sz w:val="20"/>
        </w:rPr>
        <w:t xml:space="preserve">264. Кандидат на получение медицинского заключения признается годным к обучению и работе при миопии не выше 5.0D, гиперметропии не выше 4.0D, астигматизме, не превышающем +/- 2.0D, анизометропии, не превышающей 2.0D при условии достижения оптимальной коррекции не ниже 1.0 на каждый глаз. Кандидат на получение медицинского заключения при поступлении в учебное заведение ГА/при прохождении первичного медицинского освидетельствования признается годным к обучению при миопии не выше 3.0D, гиперметропии не выше 4.0D, астигматизме не выше +/- 1.5D, анизометропии, не превышающей 2.0D, при условии достижения оптимальной коррекции 1.0 на каждый глаз.</w:t>
      </w:r>
    </w:p>
    <w:p>
      <w:pPr>
        <w:pStyle w:val="0"/>
        <w:spacing w:before="200" w:line-rule="auto"/>
        <w:ind w:firstLine="540"/>
        <w:jc w:val="both"/>
      </w:pPr>
      <w:r>
        <w:rPr>
          <w:sz w:val="20"/>
        </w:rPr>
        <w:t xml:space="preserve">Диагноз выносится с указанием вида и степени ошибки рефракции.</w:t>
      </w:r>
    </w:p>
    <w:p>
      <w:pPr>
        <w:pStyle w:val="0"/>
        <w:spacing w:before="200" w:line-rule="auto"/>
        <w:ind w:firstLine="540"/>
        <w:jc w:val="both"/>
      </w:pPr>
      <w:r>
        <w:rPr>
          <w:sz w:val="20"/>
        </w:rPr>
        <w:t xml:space="preserve">265. Кандидатам на получение медицинского заключения с пониженной остротой зрения/при наличии пресбиопии предписывается выполнять полеты в корригирующих очках или контактных линзах и иметь при себе запасной комплект очков. В данных случаях устанавливаются ограничения VDL, VML, VNL, CCL. Наличие и качество очков (контактных линз) контролируется при прохождении предполетного осмотра.</w:t>
      </w:r>
    </w:p>
    <w:p>
      <w:pPr>
        <w:pStyle w:val="0"/>
        <w:spacing w:before="200" w:line-rule="auto"/>
        <w:ind w:firstLine="540"/>
        <w:jc w:val="both"/>
      </w:pPr>
      <w:r>
        <w:rPr>
          <w:sz w:val="20"/>
        </w:rPr>
        <w:t xml:space="preserve">266. Кандидаты на получение медицинского заключения должны иметь легкодоступные запасные корригирующие очки, которые обеспечивают оптимальную зрительную функцию, удобные и подходящие для выполнения профессиональных обязанностей.</w:t>
      </w:r>
    </w:p>
    <w:bookmarkStart w:id="1518" w:name="P1518"/>
    <w:bookmarkEnd w:id="1518"/>
    <w:p>
      <w:pPr>
        <w:pStyle w:val="0"/>
        <w:spacing w:before="200" w:line-rule="auto"/>
        <w:ind w:firstLine="540"/>
        <w:jc w:val="both"/>
      </w:pPr>
      <w:r>
        <w:rPr>
          <w:sz w:val="20"/>
        </w:rPr>
        <w:t xml:space="preserve">267. Во многих случаях очки для чтения не нужно использовать постоянно, а лишь при работе со схемами и картами, особенно ночью. Такие очки должны быть всегда доступны для немедленного использования.</w:t>
      </w:r>
    </w:p>
    <w:p>
      <w:pPr>
        <w:pStyle w:val="0"/>
        <w:jc w:val="both"/>
      </w:pPr>
      <w:r>
        <w:rPr>
          <w:sz w:val="20"/>
        </w:rPr>
      </w:r>
    </w:p>
    <w:p>
      <w:pPr>
        <w:pStyle w:val="2"/>
        <w:outlineLvl w:val="3"/>
        <w:jc w:val="center"/>
      </w:pPr>
      <w:r>
        <w:rPr>
          <w:sz w:val="20"/>
        </w:rPr>
        <w:t xml:space="preserve">Цветовосприятие (H53.5)</w:t>
      </w:r>
    </w:p>
    <w:p>
      <w:pPr>
        <w:pStyle w:val="0"/>
        <w:jc w:val="both"/>
      </w:pPr>
      <w:r>
        <w:rPr>
          <w:sz w:val="20"/>
        </w:rPr>
      </w:r>
    </w:p>
    <w:p>
      <w:pPr>
        <w:pStyle w:val="0"/>
        <w:ind w:firstLine="540"/>
        <w:jc w:val="both"/>
      </w:pPr>
      <w:r>
        <w:rPr>
          <w:sz w:val="20"/>
        </w:rPr>
        <w:t xml:space="preserve">268. От кандидата на получение медицинского заключения требуется продемонстрировать способность правильно различать цвета, необходимые для безопасного выполнения профессиональных обязанностей.</w:t>
      </w:r>
    </w:p>
    <w:p>
      <w:pPr>
        <w:pStyle w:val="0"/>
        <w:spacing w:before="200" w:line-rule="auto"/>
        <w:ind w:firstLine="540"/>
        <w:jc w:val="both"/>
      </w:pPr>
      <w:r>
        <w:rPr>
          <w:sz w:val="20"/>
        </w:rPr>
        <w:t xml:space="preserve">269. Первоначально кандидаты на получение медицинского заключения должны пройти проверку цветовосприятия с использованием полихроматических таблиц.</w:t>
      </w:r>
    </w:p>
    <w:p>
      <w:pPr>
        <w:pStyle w:val="0"/>
        <w:spacing w:before="200" w:line-rule="auto"/>
        <w:ind w:firstLine="540"/>
        <w:jc w:val="both"/>
      </w:pPr>
      <w:r>
        <w:rPr>
          <w:sz w:val="20"/>
        </w:rPr>
        <w:t xml:space="preserve">270. Кандидаты на получение медицинского заключения, не прошедшие проверку по полихроматическим таблицам, должны пройти дополнительное тестирование - компьютерную аномалоскопию. К результату обследования должен быть приложен полный протокол тестирования.</w:t>
      </w:r>
    </w:p>
    <w:p>
      <w:pPr>
        <w:pStyle w:val="0"/>
        <w:spacing w:before="200" w:line-rule="auto"/>
        <w:ind w:firstLine="540"/>
        <w:jc w:val="both"/>
      </w:pPr>
      <w:r>
        <w:rPr>
          <w:sz w:val="20"/>
        </w:rPr>
        <w:t xml:space="preserve">При выявлении нарушения цветовосприятия компьютерная аномалоскопия проводится один раз в случае отсутствия дополнительных показаний.</w:t>
      </w:r>
    </w:p>
    <w:p>
      <w:pPr>
        <w:pStyle w:val="0"/>
        <w:jc w:val="both"/>
      </w:pPr>
      <w:r>
        <w:rPr>
          <w:sz w:val="20"/>
        </w:rPr>
        <w:t xml:space="preserve">(абзац введен </w:t>
      </w:r>
      <w:hyperlink w:history="0" r:id="rId12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271. Диагноз расстройства цветового зрения выносится с указанием вида, формы и степени нарушения согласно принятой классификации.</w:t>
      </w:r>
    </w:p>
    <w:p>
      <w:pPr>
        <w:pStyle w:val="0"/>
        <w:spacing w:before="200" w:line-rule="auto"/>
        <w:ind w:firstLine="540"/>
        <w:jc w:val="both"/>
      </w:pPr>
      <w:r>
        <w:rPr>
          <w:sz w:val="20"/>
        </w:rPr>
        <w:t xml:space="preserve">272. Для кандидатов на получение медицинского заключения расстройства цветовосприятия по типу "цветослабость", такие как дейтераномалия типов "C", "B", протаномалия типов "C", "B", не является причиной для отказа в выдаче свидетельства. Кандидаты на получение медицинского заключения с такими расстройствами цветовосприятия, как аномальная трихромазия (протаномалия, дейтераномалия, тританомалия) типа "A", дихромазия (протанопия, дейтеранопия, тританопия), монохромазия, должны быть признаны не годными к обучению и работе.</w:t>
      </w:r>
    </w:p>
    <w:p>
      <w:pPr>
        <w:pStyle w:val="0"/>
        <w:jc w:val="both"/>
      </w:pPr>
      <w:r>
        <w:rPr>
          <w:sz w:val="20"/>
        </w:rPr>
      </w:r>
    </w:p>
    <w:p>
      <w:pPr>
        <w:pStyle w:val="2"/>
        <w:outlineLvl w:val="3"/>
        <w:jc w:val="center"/>
      </w:pPr>
      <w:r>
        <w:rPr>
          <w:sz w:val="20"/>
        </w:rPr>
        <w:t xml:space="preserve">Глазные болезни. Нарушение зрительных функций</w:t>
      </w:r>
    </w:p>
    <w:p>
      <w:pPr>
        <w:pStyle w:val="2"/>
        <w:jc w:val="center"/>
      </w:pPr>
      <w:r>
        <w:rPr>
          <w:sz w:val="20"/>
        </w:rPr>
        <w:t xml:space="preserve">Понижение остроты зрения вследствие заболеваний глазного</w:t>
      </w:r>
    </w:p>
    <w:p>
      <w:pPr>
        <w:pStyle w:val="2"/>
        <w:jc w:val="center"/>
      </w:pPr>
      <w:r>
        <w:rPr>
          <w:sz w:val="20"/>
        </w:rPr>
        <w:t xml:space="preserve">яблока: воспалительного, сосудистого, дегенеративного</w:t>
      </w:r>
    </w:p>
    <w:p>
      <w:pPr>
        <w:pStyle w:val="2"/>
        <w:jc w:val="center"/>
      </w:pPr>
      <w:r>
        <w:rPr>
          <w:sz w:val="20"/>
        </w:rPr>
        <w:t xml:space="preserve">характера, после оперативных вмешательств, травмы,</w:t>
      </w:r>
    </w:p>
    <w:p>
      <w:pPr>
        <w:pStyle w:val="2"/>
        <w:jc w:val="center"/>
      </w:pPr>
      <w:r>
        <w:rPr>
          <w:sz w:val="20"/>
        </w:rPr>
        <w:t xml:space="preserve">новообразований (H00 - H0.6; H10 - H13; H15 - H22;</w:t>
      </w:r>
    </w:p>
    <w:p>
      <w:pPr>
        <w:pStyle w:val="2"/>
        <w:jc w:val="center"/>
      </w:pPr>
      <w:r>
        <w:rPr>
          <w:sz w:val="20"/>
        </w:rPr>
        <w:t xml:space="preserve">H25 - H28; H30 - H36; H43 - H45; H46 - H48; H53 - H59; C69)</w:t>
      </w:r>
    </w:p>
    <w:p>
      <w:pPr>
        <w:pStyle w:val="0"/>
        <w:jc w:val="both"/>
      </w:pPr>
      <w:r>
        <w:rPr>
          <w:sz w:val="20"/>
        </w:rPr>
      </w:r>
    </w:p>
    <w:p>
      <w:pPr>
        <w:pStyle w:val="0"/>
        <w:ind w:firstLine="540"/>
        <w:jc w:val="both"/>
      </w:pPr>
      <w:r>
        <w:rPr>
          <w:sz w:val="20"/>
        </w:rPr>
        <w:t xml:space="preserve">273. Кандидаты на получение медицинского заключения при первичном медицинском освидетельствовании (поступающие в учебные заведения ГА/обучающиеся в учебных заведениях ГА) с приобретенным (вследствие каких-либо патологических состояний) сниженным зрением (или нарушенными зрительными функциями) хотя бы на один глаз должны быть признаны не годными к обучению и работе.</w:t>
      </w:r>
    </w:p>
    <w:bookmarkStart w:id="1538" w:name="P1538"/>
    <w:bookmarkEnd w:id="1538"/>
    <w:p>
      <w:pPr>
        <w:pStyle w:val="0"/>
        <w:spacing w:before="200" w:line-rule="auto"/>
        <w:ind w:firstLine="540"/>
        <w:jc w:val="both"/>
      </w:pPr>
      <w:r>
        <w:rPr>
          <w:sz w:val="20"/>
        </w:rPr>
        <w:t xml:space="preserve">274. Кандидаты на получение медицинского заключения с патологическим снижением зрения на один глаз (ослабление центрального зрения) могут быть признаны годными к обучению и работе при определенных условиях: бинокулярное зрение сохранно, второй глаз имеет остроту зрения вдаль 1.0 с коррекцией или без коррекции, достигает промежуточной остроты зрения (ближняя, средняя дистанция), лежащая в основе патология является приемлемой согласно офтальмологической оценке (острота зрения не ниже 0.6 без коррекции/с коррекцией для лиц с аномалией рефракции), а в незатронутом глазу нет значительной глазной патологии.</w:t>
      </w:r>
    </w:p>
    <w:p>
      <w:pPr>
        <w:pStyle w:val="0"/>
        <w:spacing w:before="200" w:line-rule="auto"/>
        <w:ind w:firstLine="540"/>
        <w:jc w:val="both"/>
      </w:pPr>
      <w:r>
        <w:rPr>
          <w:sz w:val="20"/>
        </w:rPr>
        <w:t xml:space="preserve">275. Лица с отсутствием бинокулярного зрения признаются не годными к обучению и работе с учетом высокого риска развития диплопии и синдрома изменения местоположения. Оценку бинокулярного зрения необходимо проводить в рамках каждого медосвидетельствования.</w:t>
      </w:r>
    </w:p>
    <w:p>
      <w:pPr>
        <w:pStyle w:val="0"/>
        <w:spacing w:before="200" w:line-rule="auto"/>
        <w:ind w:firstLine="540"/>
        <w:jc w:val="both"/>
      </w:pPr>
      <w:r>
        <w:rPr>
          <w:sz w:val="20"/>
        </w:rPr>
        <w:t xml:space="preserve">276. Периферическое поле зрение должно быть в пределах нормы. Дефекты поля зрения в одном или обоих глазах могут быть приемлемыми, если они компенсируют друг друга так, что бинокулярное поле зрения является сохранным.</w:t>
      </w:r>
    </w:p>
    <w:p>
      <w:pPr>
        <w:pStyle w:val="0"/>
        <w:jc w:val="both"/>
      </w:pPr>
      <w:r>
        <w:rPr>
          <w:sz w:val="20"/>
        </w:rPr>
      </w:r>
    </w:p>
    <w:p>
      <w:pPr>
        <w:pStyle w:val="2"/>
        <w:outlineLvl w:val="3"/>
        <w:jc w:val="center"/>
      </w:pPr>
      <w:r>
        <w:rPr>
          <w:sz w:val="20"/>
        </w:rPr>
        <w:t xml:space="preserve">Заболевания век и конъюнктивы</w:t>
      </w:r>
    </w:p>
    <w:p>
      <w:pPr>
        <w:pStyle w:val="0"/>
        <w:jc w:val="both"/>
      </w:pPr>
      <w:r>
        <w:rPr>
          <w:sz w:val="20"/>
        </w:rPr>
      </w:r>
    </w:p>
    <w:p>
      <w:pPr>
        <w:pStyle w:val="0"/>
        <w:ind w:firstLine="540"/>
        <w:jc w:val="both"/>
      </w:pPr>
      <w:r>
        <w:rPr>
          <w:sz w:val="20"/>
        </w:rPr>
        <w:t xml:space="preserve">277. Кандидаты на получение медицинского заключения признаются не годными к обучению и работе при наличии паралича век и мышц, недостаточности и вывороте век (эктропион, энтропион), неправильном функционировании век, ухудшающем защиту глаза, лагофтальма, шрамах и сращениях век между собой, птоза (врожденного или приобретенного), приводящего к сужению поля зрения, язвенных блефаритах, злокачественных новообразованиях, доброкачественных опухолях, нарушающих функцию органа зрения и не подлежащих оперативному лечению.</w:t>
      </w:r>
    </w:p>
    <w:p>
      <w:pPr>
        <w:pStyle w:val="0"/>
        <w:spacing w:before="200" w:line-rule="auto"/>
        <w:ind w:firstLine="540"/>
        <w:jc w:val="both"/>
      </w:pPr>
      <w:r>
        <w:rPr>
          <w:sz w:val="20"/>
        </w:rPr>
        <w:t xml:space="preserve">278. Нерезко выраженные заболевания с редкими обострениями: простые блефариты, врожденный (или приобретенный) птоз без нарушения зрительных функций (после консультации невролога), нерезко выраженные конъюнктивиты, небольшие бессимптомные и непрогрессирующие доброкачественные опухоли, невус конъюнктивы (стационарный), секторальный меланоз конъюнктивы, птеригиум (стационарный, без нарушения зрительных функций), рубцовые изменения век, не нарушающие функцию органа зрения - не являются причиной негодности к работе (обучению).</w:t>
      </w:r>
    </w:p>
    <w:p>
      <w:pPr>
        <w:pStyle w:val="0"/>
        <w:jc w:val="both"/>
      </w:pPr>
      <w:r>
        <w:rPr>
          <w:sz w:val="20"/>
        </w:rPr>
        <w:t xml:space="preserve">(п. 278 в ред. </w:t>
      </w:r>
      <w:hyperlink w:history="0" r:id="rId12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279. Онкологические образования кожи век: при благоприятном прогнозе, неосложненном послеоперационном течении, отсутствии метастатического поражения, отсутствие рецидива опухолевого роста не являются дисквалифицирующим фактором. В данном случае вопрос о допуске к работе рассматривается не ранее чем через 6 месяцев после окончательного излечения с представлением заключения онколога.</w:t>
      </w:r>
    </w:p>
    <w:p>
      <w:pPr>
        <w:pStyle w:val="0"/>
        <w:spacing w:before="200" w:line-rule="auto"/>
        <w:ind w:firstLine="540"/>
        <w:jc w:val="both"/>
      </w:pPr>
      <w:r>
        <w:rPr>
          <w:sz w:val="20"/>
        </w:rPr>
        <w:t xml:space="preserve">280. При острых заболеваниях или обострениях хронического заболевания век и конъюнктивы проводится лечение.</w:t>
      </w:r>
    </w:p>
    <w:p>
      <w:pPr>
        <w:pStyle w:val="0"/>
        <w:jc w:val="both"/>
      </w:pPr>
      <w:r>
        <w:rPr>
          <w:sz w:val="20"/>
        </w:rPr>
      </w:r>
    </w:p>
    <w:p>
      <w:pPr>
        <w:pStyle w:val="2"/>
        <w:outlineLvl w:val="3"/>
        <w:jc w:val="center"/>
      </w:pPr>
      <w:r>
        <w:rPr>
          <w:sz w:val="20"/>
        </w:rPr>
        <w:t xml:space="preserve">Заболевания слезных органов и слезоотводящих путей</w:t>
      </w:r>
    </w:p>
    <w:p>
      <w:pPr>
        <w:pStyle w:val="0"/>
        <w:jc w:val="both"/>
      </w:pPr>
      <w:r>
        <w:rPr>
          <w:sz w:val="20"/>
        </w:rPr>
      </w:r>
    </w:p>
    <w:p>
      <w:pPr>
        <w:pStyle w:val="0"/>
        <w:ind w:firstLine="540"/>
        <w:jc w:val="both"/>
      </w:pPr>
      <w:r>
        <w:rPr>
          <w:sz w:val="20"/>
        </w:rPr>
        <w:t xml:space="preserve">281. Кандидаты на получение медицинского заключения признаются не годными к обучению и работе при наличии состояний слезных органов и слезоотводящих путей, связанных с нарушением слезоотведения.</w:t>
      </w:r>
    </w:p>
    <w:p>
      <w:pPr>
        <w:pStyle w:val="0"/>
        <w:spacing w:before="200" w:line-rule="auto"/>
        <w:ind w:firstLine="540"/>
        <w:jc w:val="both"/>
      </w:pPr>
      <w:r>
        <w:rPr>
          <w:sz w:val="20"/>
        </w:rPr>
        <w:t xml:space="preserve">К данным заболеваниям относятся: сужение, неправильное положение слезных точек, стриктура слезно-носовых канальцев, воспаление слезного мешка, слезной железы, травматические повреждения и другие заболевания, вызывающие слезотечение.</w:t>
      </w:r>
    </w:p>
    <w:p>
      <w:pPr>
        <w:pStyle w:val="0"/>
        <w:spacing w:before="200" w:line-rule="auto"/>
        <w:ind w:firstLine="540"/>
        <w:jc w:val="both"/>
      </w:pPr>
      <w:r>
        <w:rPr>
          <w:sz w:val="20"/>
        </w:rPr>
        <w:t xml:space="preserve">282. Состояния слезных органов и слезоотводящих путей без нарушения слезоотведения, восстановление функции слезоотведения, а также отсутствие нижней слезной точки при нормальной функции верхней слезной точки и канальцев (оцениваются канальцевая и носовая пробы) не являются дисквалифицирующим фактором при определении годности к работе.</w:t>
      </w:r>
    </w:p>
    <w:p>
      <w:pPr>
        <w:pStyle w:val="0"/>
        <w:spacing w:before="200" w:line-rule="auto"/>
        <w:ind w:firstLine="540"/>
        <w:jc w:val="both"/>
      </w:pPr>
      <w:r>
        <w:rPr>
          <w:sz w:val="20"/>
        </w:rPr>
        <w:t xml:space="preserve">283. После перенесенного острого заболевания - конъюнктивита, склерита, кератита, переднего увеита, легких повреждениях глазного яблока - заключение о допуске к летной работе выносится после выздоровления и прекращения лечения, так как некоторые глазные препараты могут приводить к ухудшению зрения. Следует учитывать первопричину.</w:t>
      </w:r>
    </w:p>
    <w:p>
      <w:pPr>
        <w:pStyle w:val="0"/>
        <w:spacing w:before="200" w:line-rule="auto"/>
        <w:ind w:firstLine="540"/>
        <w:jc w:val="both"/>
      </w:pPr>
      <w:r>
        <w:rPr>
          <w:sz w:val="20"/>
        </w:rPr>
        <w:t xml:space="preserve">284. При задних увеитах, длительно текущих, рецидивирующих иридоциклитах (должны быть приложены результаты системного обследования, следует учитывать первопричины заболевания), кератитах, хориоретинитах, невритах, травматических повреждениях глазного яблока с исходом выздоровления кандидаты на получение медицинского заключения подлежат лечению с последующим медицинским освидетельствованием.</w:t>
      </w:r>
    </w:p>
    <w:p>
      <w:pPr>
        <w:pStyle w:val="0"/>
        <w:spacing w:before="200" w:line-rule="auto"/>
        <w:ind w:firstLine="540"/>
        <w:jc w:val="both"/>
      </w:pPr>
      <w:r>
        <w:rPr>
          <w:sz w:val="20"/>
        </w:rPr>
        <w:t xml:space="preserve">285. Кандидаты на получение медицинского заключения должны быть признаны не годными к обучению и работе при наличии следующих заболеваний: отслойка сетчатки, дегенеративный ретиношизис, любые виды тапеторетинальной дегенерации сетчатки, окклюзия сосудов сетчатки, экссудативная форма возрастной макулярной дегенерации сетчатки, рецидивирующий кератит, рубцы роговицы, нарушающие зрительную функцию, эндокринная офтальмопатия, атрофия зрительного нерва любой этиологии, злокачественные новообразования глаза и его придаточного аппарата, дислокация хрусталика, патологический нистагм любой этиологии, наличие инородных тел в структурах глаза, никталопия.</w:t>
      </w:r>
    </w:p>
    <w:p>
      <w:pPr>
        <w:pStyle w:val="0"/>
        <w:spacing w:before="200" w:line-rule="auto"/>
        <w:ind w:firstLine="540"/>
        <w:jc w:val="both"/>
      </w:pPr>
      <w:r>
        <w:rPr>
          <w:sz w:val="20"/>
        </w:rPr>
        <w:t xml:space="preserve">286. Кандидаты на получение медицинского заключения с такими дегенеративными заболеваниями, как дистрофия роговицы, кератоконус, кератэктазия, могут быть осмотрены ЦВЛЭК ГА. Экспертный подход определяется достаточной сохранностью зрительных функций, отсутствием прогрессирования процесса, сохранностью бинокулярного зрения.</w:t>
      </w:r>
    </w:p>
    <w:p>
      <w:pPr>
        <w:pStyle w:val="0"/>
        <w:spacing w:before="200" w:line-rule="auto"/>
        <w:ind w:firstLine="540"/>
        <w:jc w:val="both"/>
      </w:pPr>
      <w:r>
        <w:rPr>
          <w:sz w:val="20"/>
        </w:rPr>
        <w:t xml:space="preserve">287. Кандидаты на получение медицинского заключения, перенесшие окклюзию сосудов сетчатки, должны быть признаны не годными к работе. Возможность восстановления на летную работу может быть рассмотрена ЦВЛЭК ГА. Последующая оценка состояния здоровья должна включать не только оценку зрительных функций, но и возможные риски нарушений со стороны сердечнососудистой системы. Необходимое условие для определения годности к работе - консультация кардиолога.</w:t>
      </w:r>
    </w:p>
    <w:p>
      <w:pPr>
        <w:pStyle w:val="0"/>
        <w:jc w:val="both"/>
      </w:pPr>
      <w:r>
        <w:rPr>
          <w:sz w:val="20"/>
        </w:rPr>
      </w:r>
    </w:p>
    <w:p>
      <w:pPr>
        <w:pStyle w:val="2"/>
        <w:outlineLvl w:val="3"/>
        <w:jc w:val="center"/>
      </w:pPr>
      <w:r>
        <w:rPr>
          <w:sz w:val="20"/>
        </w:rPr>
        <w:t xml:space="preserve">Центральная серозная ретинопатия</w:t>
      </w:r>
    </w:p>
    <w:p>
      <w:pPr>
        <w:pStyle w:val="0"/>
        <w:jc w:val="both"/>
      </w:pPr>
      <w:r>
        <w:rPr>
          <w:sz w:val="20"/>
        </w:rPr>
      </w:r>
    </w:p>
    <w:p>
      <w:pPr>
        <w:pStyle w:val="0"/>
        <w:ind w:firstLine="540"/>
        <w:jc w:val="both"/>
      </w:pPr>
      <w:r>
        <w:rPr>
          <w:sz w:val="20"/>
        </w:rPr>
        <w:t xml:space="preserve">288. При наличии центральной серозной ретинопатии обладатели медицинского заключения должны быть признаны не годными к работе. Возможность восстановления к летной работе рассматривается в случае, когда наступает стадия разрешения и стабилизации патологического процесса, при условии достаточной сохранности зрительных функций.</w:t>
      </w:r>
    </w:p>
    <w:p>
      <w:pPr>
        <w:pStyle w:val="0"/>
        <w:jc w:val="both"/>
      </w:pPr>
      <w:r>
        <w:rPr>
          <w:sz w:val="20"/>
        </w:rPr>
      </w:r>
    </w:p>
    <w:p>
      <w:pPr>
        <w:pStyle w:val="2"/>
        <w:outlineLvl w:val="3"/>
        <w:jc w:val="center"/>
      </w:pPr>
      <w:r>
        <w:rPr>
          <w:sz w:val="20"/>
        </w:rPr>
        <w:t xml:space="preserve">Отслойка сетчатки</w:t>
      </w:r>
    </w:p>
    <w:p>
      <w:pPr>
        <w:pStyle w:val="0"/>
        <w:jc w:val="both"/>
      </w:pPr>
      <w:r>
        <w:rPr>
          <w:sz w:val="20"/>
        </w:rPr>
      </w:r>
    </w:p>
    <w:p>
      <w:pPr>
        <w:pStyle w:val="0"/>
        <w:ind w:firstLine="540"/>
        <w:jc w:val="both"/>
      </w:pPr>
      <w:r>
        <w:rPr>
          <w:sz w:val="20"/>
        </w:rPr>
        <w:t xml:space="preserve">289. При наличии отслойки сетчатки кандидаты на получение медицинского заключения и обладатели свидетельства должны быть признаны не годными к работе. Возможность восстановления может быть рассмотрена ЦВЛЭК ГА при условии достаточной сохранности зрительных функций и сохранности периферического поля зрения. При наличии периферических разрывов сетчатки после успешного проведения лазерного лечения можно рассматривать вопрос о допуске к работе.</w:t>
      </w:r>
    </w:p>
    <w:p>
      <w:pPr>
        <w:pStyle w:val="0"/>
        <w:jc w:val="both"/>
      </w:pPr>
      <w:r>
        <w:rPr>
          <w:sz w:val="20"/>
        </w:rPr>
      </w:r>
    </w:p>
    <w:p>
      <w:pPr>
        <w:pStyle w:val="2"/>
        <w:outlineLvl w:val="3"/>
        <w:jc w:val="center"/>
      </w:pPr>
      <w:r>
        <w:rPr>
          <w:sz w:val="20"/>
        </w:rPr>
        <w:t xml:space="preserve">Друзы зрительного нерва</w:t>
      </w:r>
    </w:p>
    <w:p>
      <w:pPr>
        <w:pStyle w:val="0"/>
        <w:jc w:val="both"/>
      </w:pPr>
      <w:r>
        <w:rPr>
          <w:sz w:val="20"/>
        </w:rPr>
      </w:r>
    </w:p>
    <w:p>
      <w:pPr>
        <w:pStyle w:val="0"/>
        <w:ind w:firstLine="540"/>
        <w:jc w:val="both"/>
      </w:pPr>
      <w:r>
        <w:rPr>
          <w:sz w:val="20"/>
        </w:rPr>
        <w:t xml:space="preserve">290. Наличие друз зрительного нерва не является причиной негодности при условии приемлемой остроты зрения и сохранности периферического поля зрения у кандидата на получение медицинского заключения.</w:t>
      </w:r>
    </w:p>
    <w:p>
      <w:pPr>
        <w:pStyle w:val="0"/>
        <w:jc w:val="both"/>
      </w:pPr>
      <w:r>
        <w:rPr>
          <w:sz w:val="20"/>
        </w:rPr>
      </w:r>
    </w:p>
    <w:p>
      <w:pPr>
        <w:pStyle w:val="2"/>
        <w:outlineLvl w:val="3"/>
        <w:jc w:val="center"/>
      </w:pPr>
      <w:r>
        <w:rPr>
          <w:sz w:val="20"/>
        </w:rPr>
        <w:t xml:space="preserve">Заболевания глаз с достаточной сохранностью функции</w:t>
      </w:r>
    </w:p>
    <w:p>
      <w:pPr>
        <w:pStyle w:val="2"/>
        <w:jc w:val="center"/>
      </w:pPr>
      <w:r>
        <w:rPr>
          <w:sz w:val="20"/>
        </w:rPr>
        <w:t xml:space="preserve">органа зрения</w:t>
      </w:r>
    </w:p>
    <w:p>
      <w:pPr>
        <w:pStyle w:val="0"/>
        <w:jc w:val="both"/>
      </w:pPr>
      <w:r>
        <w:rPr>
          <w:sz w:val="20"/>
        </w:rPr>
      </w:r>
    </w:p>
    <w:p>
      <w:pPr>
        <w:pStyle w:val="0"/>
        <w:ind w:firstLine="540"/>
        <w:jc w:val="both"/>
      </w:pPr>
      <w:r>
        <w:rPr>
          <w:sz w:val="20"/>
        </w:rPr>
        <w:t xml:space="preserve">291. К данной группе относятся заболевания, соответствующие требованиям </w:t>
      </w:r>
      <w:hyperlink w:history="0" w:anchor="P1538" w:tooltip="274. Кандидаты на получение медицинского заключения с патологическим снижением зрения на один глаз (ослабление центрального зрения) могут быть признаны годными к обучению и работе при определенных условиях: бинокулярное зрение сохранно, второй глаз имеет остроту зрения вдаль 1.0 с коррекцией или без коррекции, достигает промежуточной остроты зрения (ближняя, средняя дистанция), лежащая в основе патология является приемлемой согласно офтальмологической оценке (острота зрения не ниже 0.6 без коррекции/с ко...">
        <w:r>
          <w:rPr>
            <w:sz w:val="20"/>
            <w:color w:val="0000ff"/>
          </w:rPr>
          <w:t xml:space="preserve">пунктов 274</w:t>
        </w:r>
      </w:hyperlink>
      <w:r>
        <w:rPr>
          <w:sz w:val="20"/>
        </w:rPr>
        <w:t xml:space="preserve">, </w:t>
      </w:r>
      <w:hyperlink w:history="0" w:anchor="P1580" w:tooltip="292. За достаточную сохранность зрительных функций принимается: острота зрения на худшем глазу для пилотов не ниже 0.6 без коррекции (с коррекцией - для лиц с ошибкой рефракции), нормальное поле зрения, темновая адаптация, соответствующая норме, устойчивое бинокулярное зрение. Зрительные функции другого глаза должны отвечать требованиям пунктов 261 - 267.">
        <w:r>
          <w:rPr>
            <w:sz w:val="20"/>
            <w:color w:val="0000ff"/>
          </w:rPr>
          <w:t xml:space="preserve">292</w:t>
        </w:r>
      </w:hyperlink>
      <w:r>
        <w:rPr>
          <w:sz w:val="20"/>
        </w:rPr>
        <w:t xml:space="preserve"> настоящего приложения, в том числе начальная катаракта, рубцы (помутнения) роговицы, не нарушающие зрительную функцию, невус хориоидеи (стационарный), атрофическая форма возрастной макулярной дегенерации сетчатки, доброкачественные формы периферической хориоретинальной дистрофии сетчатки (микрокистозная дегенерация, инеевидная дегенерация, дегенерация типа "булыжная мостовая", дегенерация типа "медовых сот", друзы, пигментная дегенерация зубчатой линии).</w:t>
      </w:r>
    </w:p>
    <w:p>
      <w:pPr>
        <w:pStyle w:val="0"/>
        <w:spacing w:before="200" w:line-rule="auto"/>
        <w:ind w:firstLine="540"/>
        <w:jc w:val="both"/>
      </w:pPr>
      <w:r>
        <w:rPr>
          <w:sz w:val="20"/>
        </w:rPr>
        <w:t xml:space="preserve">Доброкачественные формы дегенерации сетчатки не требуют профилактического оперативного лечения и не являются препятствием для поступления в образовательные организации гражданской авиации.</w:t>
      </w:r>
    </w:p>
    <w:p>
      <w:pPr>
        <w:pStyle w:val="0"/>
        <w:spacing w:before="200" w:line-rule="auto"/>
        <w:ind w:firstLine="540"/>
        <w:jc w:val="both"/>
      </w:pPr>
      <w:r>
        <w:rPr>
          <w:sz w:val="20"/>
        </w:rPr>
        <w:t xml:space="preserve">Прогностически опасные виды периферической хориоретинальной дистрофии сетчатки (регматогенные): решетчатая дегенерация, дегенерация типа "след улитки", дегенерация с истончением сетчатки, а также дегенерация сетчатки с витреоретинальной тракцией, требуют проведения профилактического оперативного (лазерного) лечения, с последующим динамическим наблюдением, а также являются препятствием для поступления в образовательные организации гражданской авиации.</w:t>
      </w:r>
    </w:p>
    <w:p>
      <w:pPr>
        <w:pStyle w:val="0"/>
        <w:jc w:val="both"/>
      </w:pPr>
      <w:r>
        <w:rPr>
          <w:sz w:val="20"/>
        </w:rPr>
        <w:t xml:space="preserve">(п. 291 в ред. </w:t>
      </w:r>
      <w:hyperlink w:history="0" r:id="rId12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1580" w:name="P1580"/>
    <w:bookmarkEnd w:id="1580"/>
    <w:p>
      <w:pPr>
        <w:pStyle w:val="0"/>
        <w:spacing w:before="200" w:line-rule="auto"/>
        <w:ind w:firstLine="540"/>
        <w:jc w:val="both"/>
      </w:pPr>
      <w:r>
        <w:rPr>
          <w:sz w:val="20"/>
        </w:rPr>
        <w:t xml:space="preserve">292. За достаточную сохранность зрительных функций принимается: острота зрения на худшем глазу для пилотов не ниже 0.6 без коррекции (с коррекцией - для лиц с ошибкой рефракции), нормальное поле зрения, темновая адаптация, соответствующая норме, устойчивое бинокулярное зрение. Зрительные функции другого глаза должны отвечать требованиям </w:t>
      </w:r>
      <w:hyperlink w:history="0" w:anchor="P1510" w:tooltip="261. Кандидаты на получение медицинского заключения должны быть признаны не годными к обучению и работе при отсутствии нормальной бинокулярной функции, отсутствии нормального поля зрения, наличии диплопии.">
        <w:r>
          <w:rPr>
            <w:sz w:val="20"/>
            <w:color w:val="0000ff"/>
          </w:rPr>
          <w:t xml:space="preserve">пунктов 261</w:t>
        </w:r>
      </w:hyperlink>
      <w:r>
        <w:rPr>
          <w:sz w:val="20"/>
        </w:rPr>
        <w:t xml:space="preserve"> - </w:t>
      </w:r>
      <w:hyperlink w:history="0" w:anchor="P1518" w:tooltip="267. Во многих случаях очки для чтения не нужно использовать постоянно, а лишь при работе со схемами и картами, особенно ночью. Такие очки должны быть всегда доступны для немедленного использования.">
        <w:r>
          <w:rPr>
            <w:sz w:val="20"/>
            <w:color w:val="0000ff"/>
          </w:rPr>
          <w:t xml:space="preserve">267</w:t>
        </w:r>
      </w:hyperlink>
      <w:r>
        <w:rPr>
          <w:sz w:val="20"/>
        </w:rPr>
        <w:t xml:space="preserve">.</w:t>
      </w:r>
    </w:p>
    <w:p>
      <w:pPr>
        <w:pStyle w:val="0"/>
        <w:spacing w:before="200" w:line-rule="auto"/>
        <w:ind w:firstLine="540"/>
        <w:jc w:val="both"/>
      </w:pPr>
      <w:r>
        <w:rPr>
          <w:sz w:val="20"/>
        </w:rPr>
        <w:t xml:space="preserve">293. Врожденные отложения единичного мелкого пигмента на капсуле хрусталика, остатки артерии стекловидного тела, миелиновые волокна ДЗН, сетчатки не являются препятствием для поступления в учебные заведения ГА.</w:t>
      </w:r>
    </w:p>
    <w:p>
      <w:pPr>
        <w:pStyle w:val="0"/>
        <w:spacing w:before="200" w:line-rule="auto"/>
        <w:ind w:firstLine="540"/>
        <w:jc w:val="both"/>
      </w:pPr>
      <w:r>
        <w:rPr>
          <w:sz w:val="20"/>
        </w:rPr>
        <w:t xml:space="preserve">294. Врожденные колобомы радужки и сосудистой оболочки, поликория, врожденные катаракты с нарушением зрительных функций, оптиконейропатия являются противопоказанием для кандидатов на получение медицинского заключения впервые (поступающие в учебные заведения ГА/обучающиеся в учебных заведениях ГА).</w:t>
      </w:r>
    </w:p>
    <w:p>
      <w:pPr>
        <w:pStyle w:val="0"/>
        <w:spacing w:before="200" w:line-rule="auto"/>
        <w:ind w:firstLine="540"/>
        <w:jc w:val="both"/>
      </w:pPr>
      <w:r>
        <w:rPr>
          <w:sz w:val="20"/>
        </w:rPr>
        <w:t xml:space="preserve">295. Ложная крыловидная плева, пингвекула, небольшой халязион,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противопоказаниями к получению медицинского заключения.</w:t>
      </w:r>
    </w:p>
    <w:p>
      <w:pPr>
        <w:pStyle w:val="0"/>
        <w:jc w:val="both"/>
      </w:pPr>
      <w:r>
        <w:rPr>
          <w:sz w:val="20"/>
        </w:rPr>
      </w:r>
    </w:p>
    <w:p>
      <w:pPr>
        <w:pStyle w:val="2"/>
        <w:outlineLvl w:val="3"/>
        <w:jc w:val="center"/>
      </w:pPr>
      <w:r>
        <w:rPr>
          <w:sz w:val="20"/>
        </w:rPr>
        <w:t xml:space="preserve">Хирургия</w:t>
      </w:r>
    </w:p>
    <w:p>
      <w:pPr>
        <w:pStyle w:val="0"/>
        <w:jc w:val="both"/>
      </w:pPr>
      <w:r>
        <w:rPr>
          <w:sz w:val="20"/>
        </w:rPr>
      </w:r>
    </w:p>
    <w:p>
      <w:pPr>
        <w:pStyle w:val="0"/>
        <w:ind w:firstLine="540"/>
        <w:jc w:val="both"/>
      </w:pPr>
      <w:r>
        <w:rPr>
          <w:sz w:val="20"/>
        </w:rPr>
        <w:t xml:space="preserve">296. Кандидаты на получение медицинского заключения, перенесшие интракапсулярную экстракцию катаракты с имплантацией интраокуляной линзы, признаются не годными к работе.</w:t>
      </w:r>
    </w:p>
    <w:p>
      <w:pPr>
        <w:pStyle w:val="0"/>
        <w:spacing w:before="200" w:line-rule="auto"/>
        <w:ind w:firstLine="540"/>
        <w:jc w:val="both"/>
      </w:pPr>
      <w:r>
        <w:rPr>
          <w:sz w:val="20"/>
        </w:rPr>
        <w:t xml:space="preserve">297. Допуск к работе обладателей медицинского заключения после проведения экстракапсулярной экстракции катаракты с имплантацией интраокулярной линзы (факоэмульсификация катаракты с имплантацией интраокулярной линзы (далее - ИОЛ): ультразвуковая, лазерная), включая операцию на оба глаза, осуществляется не ранее чем через 6 недель после проведенной операции. Решение выносится после полного восстановления при отмене лекарственных препаратов, стабилизации зрительных функций и при отсутствии послеоперационных осложнений. Обследование должно быть полным, включая обследование дальней периферии сетчатки, определение темновой адаптации, контрастной чувствительности и чувствительности к ослеплению. Для работы в авиации приемлемы только монофокальные ИОЛ. Имплантация мультифокальных ИОЛ противопоказана (Z96.1).</w:t>
      </w:r>
    </w:p>
    <w:p>
      <w:pPr>
        <w:pStyle w:val="0"/>
        <w:jc w:val="both"/>
      </w:pPr>
      <w:r>
        <w:rPr>
          <w:sz w:val="20"/>
        </w:rPr>
        <w:t xml:space="preserve">(в ред. </w:t>
      </w:r>
      <w:hyperlink w:history="0" r:id="rId12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298. Медицинским учреждением, проводившим оперативное лечение, должен быть представлен отчет о проведенной манипуляции. Данный документ должен включать: дату и тип проведенной операции, предоперационную рефракцию и детали любых осложнений (или заключение об отсутствии осложнений).</w:t>
      </w:r>
    </w:p>
    <w:p>
      <w:pPr>
        <w:pStyle w:val="0"/>
        <w:spacing w:before="200" w:line-rule="auto"/>
        <w:ind w:firstLine="540"/>
        <w:jc w:val="both"/>
      </w:pPr>
      <w:r>
        <w:rPr>
          <w:sz w:val="20"/>
        </w:rPr>
        <w:t xml:space="preserve">299. После лазерных оперативных вмешательств на сетчатке вопрос о допуске к работе решается через 2 недели после операции (лазерная коагуляция сетчатки), с учетом степени сохранности зрительных функций.</w:t>
      </w:r>
    </w:p>
    <w:p>
      <w:pPr>
        <w:pStyle w:val="0"/>
        <w:spacing w:before="200" w:line-rule="auto"/>
        <w:ind w:firstLine="540"/>
        <w:jc w:val="both"/>
      </w:pPr>
      <w:r>
        <w:rPr>
          <w:sz w:val="20"/>
        </w:rPr>
        <w:t xml:space="preserve">300. Кандидат на получение медицинского заключения, перенесший рефракционную операцию по поводу аномалии рефракции, может быть оценен как соответствующий при следующих условиях:</w:t>
      </w:r>
    </w:p>
    <w:p>
      <w:pPr>
        <w:pStyle w:val="0"/>
        <w:spacing w:before="200" w:line-rule="auto"/>
        <w:ind w:firstLine="540"/>
        <w:jc w:val="both"/>
      </w:pPr>
      <w:r>
        <w:rPr>
          <w:sz w:val="20"/>
        </w:rPr>
        <w:t xml:space="preserve">1) предоперационная рефракция не превышала +4.0D/-5.0D, cyl +/- 2.5D.</w:t>
      </w:r>
    </w:p>
    <w:p>
      <w:pPr>
        <w:pStyle w:val="0"/>
        <w:spacing w:before="200" w:line-rule="auto"/>
        <w:ind w:firstLine="540"/>
        <w:jc w:val="both"/>
      </w:pPr>
      <w:r>
        <w:rPr>
          <w:sz w:val="20"/>
        </w:rPr>
        <w:t xml:space="preserve">У кандидатов к получению свидетельства впервые (при поступлении в учебные заведения ГА) предоперационная рефракция не должна превышать +4.0D/-3.0D, cyl +/-1.5D).</w:t>
      </w:r>
    </w:p>
    <w:p>
      <w:pPr>
        <w:pStyle w:val="0"/>
        <w:jc w:val="both"/>
      </w:pPr>
      <w:r>
        <w:rPr>
          <w:sz w:val="20"/>
        </w:rPr>
        <w:t xml:space="preserve">(в ред. </w:t>
      </w:r>
      <w:hyperlink w:history="0" r:id="rId12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 операция прошла без осложнений;</w:t>
      </w:r>
    </w:p>
    <w:p>
      <w:pPr>
        <w:pStyle w:val="0"/>
        <w:spacing w:before="200" w:line-rule="auto"/>
        <w:ind w:firstLine="540"/>
        <w:jc w:val="both"/>
      </w:pPr>
      <w:r>
        <w:rPr>
          <w:sz w:val="20"/>
        </w:rPr>
        <w:t xml:space="preserve">3) зрительные функции стабилизировались (послеоперационная стабильность рефракции может варьироваться не более 0,75 дптр в дневное время);</w:t>
      </w:r>
    </w:p>
    <w:p>
      <w:pPr>
        <w:pStyle w:val="0"/>
        <w:spacing w:before="200" w:line-rule="auto"/>
        <w:ind w:firstLine="540"/>
        <w:jc w:val="both"/>
      </w:pPr>
      <w:r>
        <w:rPr>
          <w:sz w:val="20"/>
        </w:rPr>
        <w:t xml:space="preserve">4) отсутствие грубых рубцов (помутнений) на роговице. Отсутствие грубых патологических изменений на глазном дне, которые могут привести к развитию отдаленных осложнений, в том числе и отслойки сетчатки;</w:t>
      </w:r>
    </w:p>
    <w:p>
      <w:pPr>
        <w:pStyle w:val="0"/>
        <w:spacing w:before="200" w:line-rule="auto"/>
        <w:ind w:firstLine="540"/>
        <w:jc w:val="both"/>
      </w:pPr>
      <w:r>
        <w:rPr>
          <w:sz w:val="20"/>
        </w:rPr>
        <w:t xml:space="preserve">5) отсутствие жалоб на фотопсии ("блики", "ореолы");</w:t>
      </w:r>
    </w:p>
    <w:p>
      <w:pPr>
        <w:pStyle w:val="0"/>
        <w:spacing w:before="200" w:line-rule="auto"/>
        <w:ind w:firstLine="540"/>
        <w:jc w:val="both"/>
      </w:pPr>
      <w:r>
        <w:rPr>
          <w:sz w:val="20"/>
        </w:rPr>
        <w:t xml:space="preserve">6) достигнутые результаты соответствуют допустимым показателям рефракции (по соответствующим классам освидетельствования);</w:t>
      </w:r>
    </w:p>
    <w:p>
      <w:pPr>
        <w:pStyle w:val="0"/>
        <w:spacing w:before="200" w:line-rule="auto"/>
        <w:ind w:firstLine="540"/>
        <w:jc w:val="both"/>
      </w:pPr>
      <w:r>
        <w:rPr>
          <w:sz w:val="20"/>
        </w:rPr>
        <w:t xml:space="preserve">7) результаты оценки темновой адаптации, контрастной чувствительности, чувствительности к ослеплению удовлетворительные;</w:t>
      </w:r>
    </w:p>
    <w:p>
      <w:pPr>
        <w:pStyle w:val="0"/>
        <w:spacing w:before="200" w:line-rule="auto"/>
        <w:ind w:firstLine="540"/>
        <w:jc w:val="both"/>
      </w:pPr>
      <w:r>
        <w:rPr>
          <w:sz w:val="20"/>
        </w:rPr>
        <w:t xml:space="preserve">8) подлежит динамическому наблюдению;</w:t>
      </w:r>
    </w:p>
    <w:p>
      <w:pPr>
        <w:pStyle w:val="0"/>
        <w:spacing w:before="200" w:line-rule="auto"/>
        <w:ind w:firstLine="540"/>
        <w:jc w:val="both"/>
      </w:pPr>
      <w:r>
        <w:rPr>
          <w:sz w:val="20"/>
        </w:rPr>
        <w:t xml:space="preserve">9) медицинским учреждением, проводившим оперативное лечение, представлен отчет о проведенной манипуляции. Данный документ должен включать: дату и тип проведенной операции, предоперационную рефракцию и детали любых осложнений (или заключение об отсутствии осложнений).</w:t>
      </w:r>
    </w:p>
    <w:p>
      <w:pPr>
        <w:pStyle w:val="0"/>
        <w:spacing w:before="200" w:line-rule="auto"/>
        <w:ind w:firstLine="540"/>
        <w:jc w:val="both"/>
      </w:pPr>
      <w:r>
        <w:rPr>
          <w:sz w:val="20"/>
        </w:rPr>
        <w:t xml:space="preserve">301. При ФРК (фоторефракционной кератэктомии) вопрос о допуске решается не ранее чем через 3 месяца после проведенной операции (от 3 до 6 месяцев).</w:t>
      </w:r>
    </w:p>
    <w:p>
      <w:pPr>
        <w:pStyle w:val="0"/>
        <w:spacing w:before="200" w:line-rule="auto"/>
        <w:ind w:firstLine="540"/>
        <w:jc w:val="both"/>
      </w:pPr>
      <w:r>
        <w:rPr>
          <w:sz w:val="20"/>
        </w:rPr>
        <w:t xml:space="preserve">При лазерном in- situ- кератомилезе вопрос о допуске решается через 4 - 6 недель, после проведенной операции.</w:t>
      </w:r>
    </w:p>
    <w:p>
      <w:pPr>
        <w:pStyle w:val="0"/>
        <w:spacing w:before="200" w:line-rule="auto"/>
        <w:ind w:firstLine="540"/>
        <w:jc w:val="both"/>
      </w:pPr>
      <w:r>
        <w:rPr>
          <w:sz w:val="20"/>
        </w:rPr>
        <w:t xml:space="preserve">При других процедурах оценка состояния здоровья кандидата на получение медицинского заключения проводится после полного восстановления.</w:t>
      </w:r>
    </w:p>
    <w:p>
      <w:pPr>
        <w:pStyle w:val="0"/>
        <w:spacing w:before="200" w:line-rule="auto"/>
        <w:ind w:firstLine="540"/>
        <w:jc w:val="both"/>
      </w:pPr>
      <w:r>
        <w:rPr>
          <w:sz w:val="20"/>
        </w:rPr>
        <w:t xml:space="preserve">302. Медицинским учреждением, проводившим оперативное лечение, должен быть представлен отчет о проведенной манипуляции. Данный отчет должен включать: полную информацию о проведенном лечении, текущем лечении, послеоперационной остроте зрения, отсутствии/наличии послеоперационных осложнений, протокол исследования периферического поля зрения.</w:t>
      </w:r>
    </w:p>
    <w:p>
      <w:pPr>
        <w:pStyle w:val="0"/>
        <w:jc w:val="both"/>
      </w:pPr>
      <w:r>
        <w:rPr>
          <w:sz w:val="20"/>
        </w:rPr>
      </w:r>
    </w:p>
    <w:p>
      <w:pPr>
        <w:pStyle w:val="2"/>
        <w:outlineLvl w:val="3"/>
        <w:jc w:val="center"/>
      </w:pPr>
      <w:r>
        <w:rPr>
          <w:sz w:val="20"/>
        </w:rPr>
        <w:t xml:space="preserve">Глаукома (H40 - H42)</w:t>
      </w:r>
    </w:p>
    <w:p>
      <w:pPr>
        <w:pStyle w:val="0"/>
        <w:jc w:val="both"/>
      </w:pPr>
      <w:r>
        <w:rPr>
          <w:sz w:val="20"/>
        </w:rPr>
      </w:r>
    </w:p>
    <w:p>
      <w:pPr>
        <w:pStyle w:val="0"/>
        <w:ind w:firstLine="540"/>
        <w:jc w:val="both"/>
      </w:pPr>
      <w:r>
        <w:rPr>
          <w:sz w:val="20"/>
        </w:rPr>
        <w:t xml:space="preserve">303. Данное заболевание ведет к отстранению от работы всех категорий освидетельствуемых лиц авиационного персонала.</w:t>
      </w:r>
    </w:p>
    <w:p>
      <w:pPr>
        <w:pStyle w:val="0"/>
        <w:spacing w:before="200" w:line-rule="auto"/>
        <w:ind w:firstLine="540"/>
        <w:jc w:val="both"/>
      </w:pPr>
      <w:r>
        <w:rPr>
          <w:sz w:val="20"/>
        </w:rPr>
        <w:t xml:space="preserve">304. В объем обязательного медицинского освидетельствования входит измерение внутриглазного давления. Измерения проводят как контактным способом (используется тонометр Маклакова), так и бесконтактным способом (пневмотонометрия).</w:t>
      </w:r>
    </w:p>
    <w:p>
      <w:pPr>
        <w:pStyle w:val="0"/>
        <w:spacing w:before="200" w:line-rule="auto"/>
        <w:ind w:firstLine="540"/>
        <w:jc w:val="both"/>
      </w:pPr>
      <w:r>
        <w:rPr>
          <w:sz w:val="20"/>
        </w:rPr>
        <w:t xml:space="preserve">305. При подозрении на наличие глаукомы проводится дополнительное обследование в специализированном учреждении или отделении. Установленный диагноз "глаукома" требует назначения лечения.</w:t>
      </w:r>
    </w:p>
    <w:p>
      <w:pPr>
        <w:pStyle w:val="0"/>
        <w:spacing w:before="200" w:line-rule="auto"/>
        <w:ind w:firstLine="540"/>
        <w:jc w:val="both"/>
      </w:pPr>
      <w:r>
        <w:rPr>
          <w:sz w:val="20"/>
        </w:rPr>
        <w:t xml:space="preserve">306. Лица с установленным диагнозом отстраняются от работы не менее чем на 1 месяц для проведения лечебно-оздоровительных мероприятий и наблюдения. Методы терапевтического лечения определяются в индивидуальном порядке.</w:t>
      </w:r>
    </w:p>
    <w:p>
      <w:pPr>
        <w:pStyle w:val="0"/>
        <w:spacing w:before="200" w:line-rule="auto"/>
        <w:ind w:firstLine="540"/>
        <w:jc w:val="both"/>
      </w:pPr>
      <w:r>
        <w:rPr>
          <w:sz w:val="20"/>
        </w:rPr>
        <w:t xml:space="preserve">307. Категории авиационного персонала с диагнозом "первичная открытоугольная глаукома с компенсированным внутриглазным давлением (далее - ВГД)", которая эффективно контролируется с помощью медицинских препаратов, не вызывающих серьезных побочных эффектов, с удовлетворительными показателями остроты зрения и полей зрения признаются годными к работе с выдачей медицинского заключения ЦВЛЭК ГА с последующим очередным освидетельствованием ВЛЭК ГА без вынесения официального медицинского заключения.</w:t>
      </w:r>
    </w:p>
    <w:p>
      <w:pPr>
        <w:pStyle w:val="0"/>
        <w:spacing w:before="200" w:line-rule="auto"/>
        <w:ind w:firstLine="540"/>
        <w:jc w:val="both"/>
      </w:pPr>
      <w:r>
        <w:rPr>
          <w:sz w:val="20"/>
        </w:rPr>
        <w:t xml:space="preserve">308. В объем ежегодного обследования пациентов с глаукомой и внутриглазной гипертензией входит: измерение остроты зрения, измерение ВГД, биомикроскопия, исследование поля зрения, оценка побочных эффектов проводимой терапии. Также один раз в 3 месяца назначается контроль ВГД. Обязательными являются медицинские осмотры один раз в 6 месяцев.</w:t>
      </w:r>
    </w:p>
    <w:p>
      <w:pPr>
        <w:pStyle w:val="0"/>
        <w:spacing w:before="200" w:line-rule="auto"/>
        <w:ind w:firstLine="540"/>
        <w:jc w:val="both"/>
      </w:pPr>
      <w:r>
        <w:rPr>
          <w:sz w:val="20"/>
        </w:rPr>
        <w:t xml:space="preserve">309. Лица с доброкачественной внутриглазной гипертензией от работы не отстраняются.</w:t>
      </w:r>
    </w:p>
    <w:p>
      <w:pPr>
        <w:pStyle w:val="0"/>
        <w:jc w:val="both"/>
      </w:pPr>
      <w:r>
        <w:rPr>
          <w:sz w:val="20"/>
        </w:rPr>
      </w:r>
    </w:p>
    <w:p>
      <w:pPr>
        <w:pStyle w:val="2"/>
        <w:outlineLvl w:val="3"/>
        <w:jc w:val="center"/>
      </w:pPr>
      <w:r>
        <w:rPr>
          <w:sz w:val="20"/>
        </w:rPr>
        <w:t xml:space="preserve">Хирургия глаукомы. Тактика</w:t>
      </w:r>
    </w:p>
    <w:p>
      <w:pPr>
        <w:pStyle w:val="0"/>
        <w:jc w:val="both"/>
      </w:pPr>
      <w:r>
        <w:rPr>
          <w:sz w:val="20"/>
        </w:rPr>
      </w:r>
    </w:p>
    <w:p>
      <w:pPr>
        <w:pStyle w:val="0"/>
        <w:ind w:firstLine="540"/>
        <w:jc w:val="both"/>
      </w:pPr>
      <w:r>
        <w:rPr>
          <w:sz w:val="20"/>
        </w:rPr>
        <w:t xml:space="preserve">310. Вопрос о выдаче медицинского заключения решается:</w:t>
      </w:r>
    </w:p>
    <w:p>
      <w:pPr>
        <w:pStyle w:val="0"/>
        <w:spacing w:before="200" w:line-rule="auto"/>
        <w:ind w:firstLine="540"/>
        <w:jc w:val="both"/>
      </w:pPr>
      <w:r>
        <w:rPr>
          <w:sz w:val="20"/>
        </w:rPr>
        <w:t xml:space="preserve">при трабекулэктомии (или антиглаукоматозных операциях с использованием дренажных систем) - не ранее чем через 3 месяца после проведенной операции;</w:t>
      </w:r>
    </w:p>
    <w:p>
      <w:pPr>
        <w:pStyle w:val="0"/>
        <w:spacing w:before="200" w:line-rule="auto"/>
        <w:ind w:firstLine="540"/>
        <w:jc w:val="both"/>
      </w:pPr>
      <w:r>
        <w:rPr>
          <w:sz w:val="20"/>
        </w:rPr>
        <w:t xml:space="preserve">при селективной лазерной или аргонлазерной трабекулопластике - через 7 - 10 дней;</w:t>
      </w:r>
    </w:p>
    <w:p>
      <w:pPr>
        <w:pStyle w:val="0"/>
        <w:spacing w:before="200" w:line-rule="auto"/>
        <w:ind w:firstLine="540"/>
        <w:jc w:val="both"/>
      </w:pPr>
      <w:r>
        <w:rPr>
          <w:sz w:val="20"/>
        </w:rPr>
        <w:t xml:space="preserve">при других процедурах - после полного восстановления.</w:t>
      </w:r>
    </w:p>
    <w:p>
      <w:pPr>
        <w:pStyle w:val="0"/>
        <w:spacing w:before="200" w:line-rule="auto"/>
        <w:ind w:firstLine="540"/>
        <w:jc w:val="both"/>
      </w:pPr>
      <w:r>
        <w:rPr>
          <w:sz w:val="20"/>
        </w:rPr>
        <w:t xml:space="preserve">311. Медицинским учреждением, проводившим оперативное лечение, должен быть представлен отчет о проведенной манипуляции. Данный отчет должен включать: полную информацию о проведенном лечении, текущем лечении, послеоперационной остроте зрения, отсутствии/наличии послеоперационных осложнений, протокол исследования периферического поля зрения.</w:t>
      </w:r>
    </w:p>
    <w:p>
      <w:pPr>
        <w:pStyle w:val="0"/>
        <w:jc w:val="both"/>
      </w:pPr>
      <w:r>
        <w:rPr>
          <w:sz w:val="20"/>
        </w:rPr>
      </w:r>
    </w:p>
    <w:p>
      <w:pPr>
        <w:pStyle w:val="2"/>
        <w:outlineLvl w:val="3"/>
        <w:jc w:val="center"/>
      </w:pPr>
      <w:r>
        <w:rPr>
          <w:sz w:val="20"/>
        </w:rPr>
        <w:t xml:space="preserve">Бинокулярные функции. Гетерофория, гетеротропия (H49 - H51)</w:t>
      </w:r>
    </w:p>
    <w:p>
      <w:pPr>
        <w:pStyle w:val="0"/>
        <w:jc w:val="both"/>
      </w:pPr>
      <w:r>
        <w:rPr>
          <w:sz w:val="20"/>
        </w:rPr>
      </w:r>
    </w:p>
    <w:p>
      <w:pPr>
        <w:pStyle w:val="0"/>
        <w:ind w:firstLine="540"/>
        <w:jc w:val="both"/>
      </w:pPr>
      <w:r>
        <w:rPr>
          <w:sz w:val="20"/>
        </w:rPr>
        <w:t xml:space="preserve">312. Кандидаты на получение медицинского заключения должны иметь полную сохранность бинокулярных функций.</w:t>
      </w:r>
    </w:p>
    <w:p>
      <w:pPr>
        <w:pStyle w:val="0"/>
        <w:spacing w:before="200" w:line-rule="auto"/>
        <w:ind w:firstLine="540"/>
        <w:jc w:val="both"/>
      </w:pPr>
      <w:r>
        <w:rPr>
          <w:sz w:val="20"/>
        </w:rPr>
        <w:t xml:space="preserve">При каждом медицинском освидетельствовании исследуется сохранность бинокулярного зрения.</w:t>
      </w:r>
    </w:p>
    <w:p>
      <w:pPr>
        <w:pStyle w:val="0"/>
        <w:spacing w:before="200" w:line-rule="auto"/>
        <w:ind w:firstLine="540"/>
        <w:jc w:val="both"/>
      </w:pPr>
      <w:r>
        <w:rPr>
          <w:sz w:val="20"/>
        </w:rPr>
        <w:t xml:space="preserve">313. Кандидаты на получение медицинского заключения с гетерофорией, превышающие представленные ниже показатели, будут считаться не годными к обучению и работе:</w:t>
      </w:r>
    </w:p>
    <w:p>
      <w:pPr>
        <w:pStyle w:val="0"/>
        <w:spacing w:before="200" w:line-rule="auto"/>
        <w:ind w:firstLine="540"/>
        <w:jc w:val="both"/>
      </w:pPr>
      <w:r>
        <w:rPr>
          <w:sz w:val="20"/>
        </w:rPr>
        <w:t xml:space="preserve">1) расстояние 6 метров:</w:t>
      </w:r>
    </w:p>
    <w:p>
      <w:pPr>
        <w:pStyle w:val="0"/>
        <w:spacing w:before="200" w:line-rule="auto"/>
        <w:ind w:firstLine="540"/>
        <w:jc w:val="both"/>
      </w:pPr>
      <w:r>
        <w:rPr>
          <w:sz w:val="20"/>
        </w:rPr>
        <w:t xml:space="preserve">- 2.0 призменных D по вертикали (1 градус);</w:t>
      </w:r>
    </w:p>
    <w:p>
      <w:pPr>
        <w:pStyle w:val="0"/>
        <w:spacing w:before="200" w:line-rule="auto"/>
        <w:ind w:firstLine="540"/>
        <w:jc w:val="both"/>
      </w:pPr>
      <w:r>
        <w:rPr>
          <w:sz w:val="20"/>
        </w:rPr>
        <w:t xml:space="preserve">- 10 призменных D при эзофории (5 градусов);</w:t>
      </w:r>
    </w:p>
    <w:p>
      <w:pPr>
        <w:pStyle w:val="0"/>
        <w:spacing w:before="200" w:line-rule="auto"/>
        <w:ind w:firstLine="540"/>
        <w:jc w:val="both"/>
      </w:pPr>
      <w:r>
        <w:rPr>
          <w:sz w:val="20"/>
        </w:rPr>
        <w:t xml:space="preserve">- 8.0 призменных D при экзофории (4 градуса).</w:t>
      </w:r>
    </w:p>
    <w:p>
      <w:pPr>
        <w:pStyle w:val="0"/>
        <w:spacing w:before="200" w:line-rule="auto"/>
        <w:ind w:firstLine="540"/>
        <w:jc w:val="both"/>
      </w:pPr>
      <w:r>
        <w:rPr>
          <w:sz w:val="20"/>
        </w:rPr>
        <w:t xml:space="preserve">2) расстояние 33 см:</w:t>
      </w:r>
    </w:p>
    <w:p>
      <w:pPr>
        <w:pStyle w:val="0"/>
        <w:spacing w:before="200" w:line-rule="auto"/>
        <w:ind w:firstLine="540"/>
        <w:jc w:val="both"/>
      </w:pPr>
      <w:r>
        <w:rPr>
          <w:sz w:val="20"/>
        </w:rPr>
        <w:t xml:space="preserve">- 1.0 призменный D по вертикали (0);</w:t>
      </w:r>
    </w:p>
    <w:p>
      <w:pPr>
        <w:pStyle w:val="0"/>
        <w:spacing w:before="200" w:line-rule="auto"/>
        <w:ind w:firstLine="540"/>
        <w:jc w:val="both"/>
      </w:pPr>
      <w:r>
        <w:rPr>
          <w:sz w:val="20"/>
        </w:rPr>
        <w:t xml:space="preserve">- 8.0 призменных D при эзофории (4 градуса);</w:t>
      </w:r>
    </w:p>
    <w:p>
      <w:pPr>
        <w:pStyle w:val="0"/>
        <w:spacing w:before="200" w:line-rule="auto"/>
        <w:ind w:firstLine="540"/>
        <w:jc w:val="both"/>
      </w:pPr>
      <w:r>
        <w:rPr>
          <w:sz w:val="20"/>
        </w:rPr>
        <w:t xml:space="preserve">- 12 призменных D при экзофории (6 градусов).</w:t>
      </w:r>
    </w:p>
    <w:p>
      <w:pPr>
        <w:pStyle w:val="0"/>
        <w:spacing w:before="200" w:line-rule="auto"/>
        <w:ind w:firstLine="540"/>
        <w:jc w:val="both"/>
      </w:pPr>
      <w:r>
        <w:rPr>
          <w:sz w:val="20"/>
        </w:rPr>
        <w:t xml:space="preserve">Кандидаты на получение медицинского заключения с наличием гетеротропии (косоглазие) должны быть признаны не годными к обучению и работе.</w:t>
      </w:r>
    </w:p>
    <w:p>
      <w:pPr>
        <w:pStyle w:val="0"/>
        <w:jc w:val="both"/>
      </w:pPr>
      <w:r>
        <w:rPr>
          <w:sz w:val="20"/>
        </w:rPr>
      </w:r>
    </w:p>
    <w:p>
      <w:pPr>
        <w:pStyle w:val="2"/>
        <w:outlineLvl w:val="2"/>
        <w:jc w:val="center"/>
      </w:pPr>
      <w:r>
        <w:rPr>
          <w:sz w:val="20"/>
        </w:rPr>
        <w:t xml:space="preserve">XV. Оториноларингология</w:t>
      </w:r>
    </w:p>
    <w:p>
      <w:pPr>
        <w:pStyle w:val="0"/>
        <w:jc w:val="both"/>
      </w:pPr>
      <w:r>
        <w:rPr>
          <w:sz w:val="20"/>
        </w:rPr>
      </w:r>
    </w:p>
    <w:p>
      <w:pPr>
        <w:pStyle w:val="0"/>
        <w:ind w:firstLine="540"/>
        <w:jc w:val="both"/>
      </w:pPr>
      <w:r>
        <w:rPr>
          <w:sz w:val="20"/>
        </w:rPr>
        <w:t xml:space="preserve">314. Кандидаты на получение медицинского заключения не должны иметь нарушений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обязанностей, предусмотренных соответствующим свидетельством (C00 - C14; C30 - C32; D10; D14; D36.1; F80.0; F98.5; F98.6; H60 - H95; J00 - J06; J30 - J39; K00 - K14; Q16; Q35 - Q37; R47 - R49; S00 - S09).</w:t>
      </w:r>
    </w:p>
    <w:p>
      <w:pPr>
        <w:pStyle w:val="0"/>
        <w:spacing w:before="200" w:line-rule="auto"/>
        <w:ind w:firstLine="540"/>
        <w:jc w:val="both"/>
      </w:pPr>
      <w:r>
        <w:rPr>
          <w:sz w:val="20"/>
        </w:rPr>
        <w:t xml:space="preserve">315. Кандидаты на получение медицинского заключения должны правильно понимать разговорную речь при тестировании на каждое ухо отдельно с расстояния не менее 2 метров от спины кандидата на получение медицинского заключения до исследователя.</w:t>
      </w:r>
    </w:p>
    <w:p>
      <w:pPr>
        <w:pStyle w:val="0"/>
        <w:spacing w:before="200" w:line-rule="auto"/>
        <w:ind w:firstLine="540"/>
        <w:jc w:val="both"/>
      </w:pPr>
      <w:r>
        <w:rPr>
          <w:sz w:val="20"/>
        </w:rPr>
        <w:t xml:space="preserve">316. Кандидаты на получение медицинского заключения с потерей слуха свыше возрастной физиологической нормы, но не более 35 дБ на любой из частот 0,5 кГц, 1 кГц, 2 кГц и не более 50 дБ на частоте 3 кГц в любом ухе признаются годными к обучению и работе (H90 - H91).</w:t>
      </w:r>
    </w:p>
    <w:p>
      <w:pPr>
        <w:pStyle w:val="0"/>
        <w:spacing w:before="200" w:line-rule="auto"/>
        <w:ind w:firstLine="540"/>
        <w:jc w:val="both"/>
      </w:pPr>
      <w:r>
        <w:rPr>
          <w:sz w:val="20"/>
        </w:rPr>
        <w:t xml:space="preserve">317. Кандидаты на получение медицинского заключения с потерей слуха более 35 дБ на любой из частот 0,5 кГц, 1 кГц, 2 кГц и более 50 дБ на частоте 3 кГц в любом ухе могут быть признаны годными к обучению и работе при благоприятном течении заболевания с ограничениями и вынесением официального медицинского заключения (H90 - H91).</w:t>
      </w:r>
    </w:p>
    <w:p>
      <w:pPr>
        <w:pStyle w:val="0"/>
        <w:spacing w:before="200" w:line-rule="auto"/>
        <w:ind w:firstLine="540"/>
        <w:jc w:val="both"/>
      </w:pPr>
      <w:r>
        <w:rPr>
          <w:sz w:val="20"/>
        </w:rPr>
        <w:t xml:space="preserve">Кандидаты на получение медицинского заключения при впервые установленном нарушении слуховой функции 2 степени и выше независимо от этиологии (острое, подострое, хроническое) заболевания подлежат медицинскому обследованию в стационарных условиях медицинской организации, находящейся в ведении уполномоченного органа, с последующим освидетельствованием в ЦВЛЭК ГА.</w:t>
      </w:r>
    </w:p>
    <w:p>
      <w:pPr>
        <w:pStyle w:val="0"/>
        <w:jc w:val="both"/>
      </w:pPr>
      <w:r>
        <w:rPr>
          <w:sz w:val="20"/>
        </w:rPr>
        <w:t xml:space="preserve">(абзац введен </w:t>
      </w:r>
      <w:hyperlink w:history="0" r:id="rId12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318. При функциональном исследовании слуха кандидаты на получение медицинского заключения должны демонстрировать удовлетворительную слуховую способность и иметь не менее 80% разборчивости речи на фоне шума на уровне не более 70 дБ.</w:t>
      </w:r>
    </w:p>
    <w:p>
      <w:pPr>
        <w:pStyle w:val="0"/>
        <w:spacing w:before="200" w:line-rule="auto"/>
        <w:ind w:firstLine="540"/>
        <w:jc w:val="both"/>
      </w:pPr>
      <w:r>
        <w:rPr>
          <w:sz w:val="20"/>
        </w:rPr>
        <w:t xml:space="preserve">319. При вынесении официального медицинского заключения кандидатам на получение медицинского заключения проводится аудиологическое обследование с использованием субъективных и объективных методов исследования слуха и оценкой функционального состояния слуха в объеме, достаточном для решения вопроса о возможности безопасного осуществления работ в составе многочленного экипажа с ограничением длительности полетного времени.</w:t>
      </w:r>
    </w:p>
    <w:p>
      <w:pPr>
        <w:pStyle w:val="0"/>
        <w:spacing w:before="200" w:line-rule="auto"/>
        <w:ind w:firstLine="540"/>
        <w:jc w:val="both"/>
      </w:pPr>
      <w:r>
        <w:rPr>
          <w:sz w:val="20"/>
        </w:rPr>
        <w:t xml:space="preserve">320. При отсутствии стабильности в течение заболевания может потребоваться отстранение от работы на полный курс лечения с последующей контрольной тональной пороговой аудиометрией и решением вопроса о соответствии запрашиваемой сертификации.</w:t>
      </w:r>
    </w:p>
    <w:p>
      <w:pPr>
        <w:pStyle w:val="0"/>
        <w:spacing w:before="200" w:line-rule="auto"/>
        <w:ind w:firstLine="540"/>
        <w:jc w:val="both"/>
      </w:pPr>
      <w:r>
        <w:rPr>
          <w:sz w:val="20"/>
        </w:rPr>
        <w:t xml:space="preserve">321. Кандидаты на получение медицинского заключения, имеющие признаки клинической формы тугоухости, проходят курс профилактического лечения не реже одного раза в год.</w:t>
      </w:r>
    </w:p>
    <w:p>
      <w:pPr>
        <w:pStyle w:val="0"/>
        <w:spacing w:before="200" w:line-rule="auto"/>
        <w:ind w:firstLine="540"/>
        <w:jc w:val="both"/>
      </w:pPr>
      <w:r>
        <w:rPr>
          <w:sz w:val="20"/>
        </w:rPr>
        <w:t xml:space="preserve">322. Кандидаты на получение медицинского заключения с установленной частичной или полной утратой профессиональной трудоспособности по профессиональному заболеванию органа слуха признаются не годными к работе (H83.3; H90.6).</w:t>
      </w:r>
    </w:p>
    <w:p>
      <w:pPr>
        <w:pStyle w:val="0"/>
        <w:spacing w:before="200" w:line-rule="auto"/>
        <w:ind w:firstLine="540"/>
        <w:jc w:val="both"/>
      </w:pPr>
      <w:r>
        <w:rPr>
          <w:sz w:val="20"/>
        </w:rPr>
        <w:t xml:space="preserve">323. Стойкие приобретенные и/или врожденные изменения полости носа и его придаточных пазух, полости рта, глотки, гортани, трахеи или уха после повреждений, заболеваний и перенесенных оперативных вмешательств с клиническими значимыми (выраженными) нарушениями функции ЛОР-органов и затрудняющие использование специального оборудования, определяют негодность к работе (обучению) (C00 - C14; C30 - C32; D10; D14; D36.1; F80.0; F98.5; F98.6; H60 - H95; J00 - J06; J30 - J39; K00 - K14; Q16; Q35 - Q37; R47 - R49; S00 - S09).</w:t>
      </w:r>
    </w:p>
    <w:p>
      <w:pPr>
        <w:pStyle w:val="0"/>
        <w:spacing w:before="200" w:line-rule="auto"/>
        <w:ind w:firstLine="540"/>
        <w:jc w:val="both"/>
      </w:pPr>
      <w:r>
        <w:rPr>
          <w:sz w:val="20"/>
        </w:rPr>
        <w:t xml:space="preserve">324. Кандидаты на получение медицинского заключения с активным острым и/или обострением хронического патологического процесса внутреннего и/или среднего уха должны быть оценены как не годные к обучению и работе (H65 - H83). Оценка соответствия может рассматриваться после стабилизации состояния или полного восстановления.</w:t>
      </w:r>
    </w:p>
    <w:p>
      <w:pPr>
        <w:pStyle w:val="0"/>
        <w:spacing w:before="200" w:line-rule="auto"/>
        <w:ind w:firstLine="540"/>
        <w:jc w:val="both"/>
      </w:pPr>
      <w:r>
        <w:rPr>
          <w:sz w:val="20"/>
        </w:rPr>
        <w:t xml:space="preserve">325.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 определяют негодность к работе (обучению) (H65 - H75).</w:t>
      </w:r>
    </w:p>
    <w:p>
      <w:pPr>
        <w:pStyle w:val="0"/>
        <w:spacing w:before="200" w:line-rule="auto"/>
        <w:ind w:firstLine="540"/>
        <w:jc w:val="both"/>
      </w:pPr>
      <w:r>
        <w:rPr>
          <w:sz w:val="20"/>
        </w:rPr>
        <w:t xml:space="preserve">326. При хроническом доброкачественно протекающем среднем отите решение о годности к работе (обучению) выносится при положительных результатах лечения с учетом остроты слуха и прогноза заболевания.</w:t>
      </w:r>
    </w:p>
    <w:p>
      <w:pPr>
        <w:pStyle w:val="0"/>
        <w:spacing w:before="200" w:line-rule="auto"/>
        <w:ind w:firstLine="540"/>
        <w:jc w:val="both"/>
      </w:pPr>
      <w:r>
        <w:rPr>
          <w:sz w:val="20"/>
        </w:rPr>
        <w:t xml:space="preserve">327. После оперативных вмешательств на внутреннем и среднем ухе при полной и стойкой эпидермизации послеоперационной полости в зависимости от объема оперативного вмешательства не ранее чем через 3 - 6 месяцев со дня операции проводится отомикроскопия, диагностическое и аудиологическое обследование с использованием субъективных и объективных методов исследования слуха и оценкой функционального состояния слуха в объеме, достаточном для решения вопроса о возможности и сохранности слуховой и барометрической функций (H65 - H83).</w:t>
      </w:r>
    </w:p>
    <w:p>
      <w:pPr>
        <w:pStyle w:val="0"/>
        <w:spacing w:before="200" w:line-rule="auto"/>
        <w:ind w:firstLine="540"/>
        <w:jc w:val="both"/>
      </w:pPr>
      <w:r>
        <w:rPr>
          <w:sz w:val="20"/>
        </w:rPr>
        <w:t xml:space="preserve">328. Перенесшие стапедопластику признаются не годными к обучению и работе (H80).</w:t>
      </w:r>
    </w:p>
    <w:p>
      <w:pPr>
        <w:pStyle w:val="0"/>
        <w:spacing w:before="200" w:line-rule="auto"/>
        <w:ind w:firstLine="540"/>
        <w:jc w:val="both"/>
      </w:pPr>
      <w:r>
        <w:rPr>
          <w:sz w:val="20"/>
        </w:rPr>
        <w:t xml:space="preserve">329. Кандидат на получение медицинского заключения с акустической невриномой должен быть признан не годным к обучению и работе (D36.1).</w:t>
      </w:r>
    </w:p>
    <w:p>
      <w:pPr>
        <w:pStyle w:val="0"/>
        <w:spacing w:before="200" w:line-rule="auto"/>
        <w:ind w:firstLine="540"/>
        <w:jc w:val="both"/>
      </w:pPr>
      <w:r>
        <w:rPr>
          <w:sz w:val="20"/>
        </w:rPr>
        <w:t xml:space="preserve">330. Кандидаты на получение медицинского заключения с постоянной дисфункцией слуховой трубы могут быть оценены как годные с вынесением официального медицинского заключения при отсутствии осложнений, благоприятном прогнозе заболеваний и с учетом сохранности слуховой функции (H68 - H69).</w:t>
      </w:r>
    </w:p>
    <w:p>
      <w:pPr>
        <w:pStyle w:val="0"/>
        <w:spacing w:before="200" w:line-rule="auto"/>
        <w:ind w:firstLine="540"/>
        <w:jc w:val="both"/>
      </w:pPr>
      <w:r>
        <w:rPr>
          <w:sz w:val="20"/>
        </w:rPr>
        <w:t xml:space="preserve">331. О состоянии статокинетической чувствительности у кандидатов на получение медицинского заключения судят по вестибулярному анамнезу, результатам вестибулометрии (исследовании на вращающемся кресле), по переносимости длительных полетов.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являются основанием для установления диагноза.</w:t>
      </w:r>
    </w:p>
    <w:p>
      <w:pPr>
        <w:pStyle w:val="0"/>
        <w:spacing w:before="200" w:line-rule="auto"/>
        <w:ind w:firstLine="540"/>
        <w:jc w:val="both"/>
      </w:pPr>
      <w:r>
        <w:rPr>
          <w:sz w:val="20"/>
        </w:rPr>
        <w:t xml:space="preserve">332. Повышенная чувствительность к статокинетическим раздражителям является противопоказанием к работе (обучению) (H81 - H82).</w:t>
      </w:r>
    </w:p>
    <w:p>
      <w:pPr>
        <w:pStyle w:val="0"/>
        <w:spacing w:before="200" w:line-rule="auto"/>
        <w:ind w:firstLine="540"/>
        <w:jc w:val="both"/>
      </w:pPr>
      <w:r>
        <w:rPr>
          <w:sz w:val="20"/>
        </w:rPr>
        <w:t xml:space="preserve">333. Доброкачественное позиционное головокружение является противопоказанием к работе (обучению). Вопрос о повторном медицинском освидетельствовании может быть рассмотрен не ранее чем через 4 месяца после прекращения лечения при отсутствии симптомов заболевания (H81.1).</w:t>
      </w:r>
    </w:p>
    <w:p>
      <w:pPr>
        <w:pStyle w:val="0"/>
        <w:spacing w:before="200" w:line-rule="auto"/>
        <w:ind w:firstLine="540"/>
        <w:jc w:val="both"/>
      </w:pPr>
      <w:r>
        <w:rPr>
          <w:sz w:val="20"/>
        </w:rPr>
        <w:t xml:space="preserve">334. Болезнь Меньера, врожденные и/или приобретенные аномалии развития вестибулярного органа, хронические и вестибулярные нарушения, не поддающиеся консервативному и хирургическому лечению, являются абсолютными противопоказаниями к выдаче медицинского заключения (H81.0).</w:t>
      </w:r>
    </w:p>
    <w:p>
      <w:pPr>
        <w:pStyle w:val="0"/>
        <w:spacing w:before="200" w:line-rule="auto"/>
        <w:ind w:firstLine="540"/>
        <w:jc w:val="both"/>
      </w:pPr>
      <w:r>
        <w:rPr>
          <w:sz w:val="20"/>
        </w:rPr>
        <w:t xml:space="preserve">335. При кистах и остеомах околоносовых пазух кандидаты на получение медицинского заключения, поступающие на обучение, могут быть признаны годными к обучению с вынесением официального медицинского заключения при функциональной сохранности функции слуховой трубы и носового дыхания, а также благоприятном прогнозе заболевания (J31 - J34).</w:t>
      </w:r>
    </w:p>
    <w:p>
      <w:pPr>
        <w:pStyle w:val="0"/>
        <w:spacing w:before="200" w:line-rule="auto"/>
        <w:ind w:firstLine="540"/>
        <w:jc w:val="both"/>
      </w:pPr>
      <w:r>
        <w:rPr>
          <w:sz w:val="20"/>
        </w:rPr>
        <w:t xml:space="preserve">336. Пристеночное утолщение (локальное, подушкообразное) слизистой верхнечелюстных пазух не является препятствием к работе (обучению).</w:t>
      </w:r>
    </w:p>
    <w:p>
      <w:pPr>
        <w:pStyle w:val="0"/>
        <w:spacing w:before="200" w:line-rule="auto"/>
        <w:ind w:firstLine="540"/>
        <w:jc w:val="both"/>
      </w:pPr>
      <w:r>
        <w:rPr>
          <w:sz w:val="20"/>
        </w:rPr>
        <w:t xml:space="preserve">337. При поллинозе, риноконьюктивальном синдроме вопрос о годности кандидатов на получение медицинского заключения решается после заключения аллерголога (J30).</w:t>
      </w:r>
    </w:p>
    <w:p>
      <w:pPr>
        <w:pStyle w:val="0"/>
        <w:spacing w:before="200" w:line-rule="auto"/>
        <w:ind w:firstLine="540"/>
        <w:jc w:val="both"/>
      </w:pPr>
      <w:r>
        <w:rPr>
          <w:sz w:val="20"/>
        </w:rPr>
        <w:t xml:space="preserve">338. Искривление носовой перегородки с полным отсутствием или резким затруднением носового дыхания является противопоказанием к получению медицинского заключения (J34.2).</w:t>
      </w:r>
    </w:p>
    <w:p>
      <w:pPr>
        <w:pStyle w:val="0"/>
        <w:spacing w:before="200" w:line-rule="auto"/>
        <w:ind w:firstLine="540"/>
        <w:jc w:val="both"/>
      </w:pPr>
      <w:r>
        <w:rPr>
          <w:sz w:val="20"/>
        </w:rPr>
        <w:t xml:space="preserve">339. Кандидаты на получение медицинского заключения, перенесшие ринопластику с полным восстановлением функции носового дыхания, после оперативного лечения полости носа и околоносовых пазух признаются годными к работе (обучению), но не ранее чем через 2 недели после операции.</w:t>
      </w:r>
    </w:p>
    <w:p>
      <w:pPr>
        <w:pStyle w:val="0"/>
        <w:spacing w:before="200" w:line-rule="auto"/>
        <w:ind w:firstLine="540"/>
        <w:jc w:val="both"/>
      </w:pPr>
      <w:r>
        <w:rPr>
          <w:sz w:val="20"/>
        </w:rPr>
        <w:t xml:space="preserve">340. Кандидаты на получение медицинского заключения с любой дисфункцией носовых пазух должны оцениваться как не годные к обучению и работе до полного выздоровления.</w:t>
      </w:r>
    </w:p>
    <w:p>
      <w:pPr>
        <w:pStyle w:val="0"/>
        <w:spacing w:before="200" w:line-rule="auto"/>
        <w:ind w:firstLine="540"/>
        <w:jc w:val="both"/>
      </w:pPr>
      <w:r>
        <w:rPr>
          <w:sz w:val="20"/>
        </w:rPr>
        <w:t xml:space="preserve">341. Вопрос о восстановлении на работу после лечения по поводу злокачественных образований рассматривается через 2 года с учетом заключения онколога (C00 - C14; C30 - C32).</w:t>
      </w:r>
    </w:p>
    <w:p>
      <w:pPr>
        <w:pStyle w:val="0"/>
        <w:spacing w:before="200" w:line-rule="auto"/>
        <w:ind w:firstLine="540"/>
        <w:jc w:val="both"/>
      </w:pPr>
      <w:r>
        <w:rPr>
          <w:sz w:val="20"/>
        </w:rPr>
        <w:t xml:space="preserve">342. После оперативного лечения хронического тонзиллита кандидаты на получение медицинского заключения допускаются к работе (обучению) при отсутствии осложнений не ранее чем через месяц после операции (J35.0).</w:t>
      </w:r>
    </w:p>
    <w:p>
      <w:pPr>
        <w:pStyle w:val="0"/>
        <w:spacing w:before="200" w:line-rule="auto"/>
        <w:ind w:firstLine="540"/>
        <w:jc w:val="both"/>
      </w:pPr>
      <w:r>
        <w:rPr>
          <w:sz w:val="20"/>
        </w:rPr>
        <w:t xml:space="preserve">343. При наличии съемных протезов функция речи оценивается при снятых протезах.</w:t>
      </w:r>
    </w:p>
    <w:p>
      <w:pPr>
        <w:pStyle w:val="0"/>
        <w:spacing w:before="200" w:line-rule="auto"/>
        <w:ind w:firstLine="540"/>
        <w:jc w:val="both"/>
      </w:pPr>
      <w:r>
        <w:rPr>
          <w:sz w:val="20"/>
        </w:rPr>
        <w:t xml:space="preserve">344. При множественном отсутствии зубов с умеренным нарушением функции жевания рекомендуется протезирование в межкомиссионный период.</w:t>
      </w:r>
    </w:p>
    <w:p>
      <w:pPr>
        <w:pStyle w:val="0"/>
        <w:spacing w:before="200" w:line-rule="auto"/>
        <w:ind w:firstLine="540"/>
        <w:jc w:val="both"/>
      </w:pPr>
      <w:r>
        <w:rPr>
          <w:sz w:val="20"/>
        </w:rPr>
        <w:t xml:space="preserve">345. При аномалии прикуса I степени (расстояние между резцами менее 5 мм) кандидаты на получение медицинского заключения признаются годными к обучению и работе.</w:t>
      </w:r>
    </w:p>
    <w:p>
      <w:pPr>
        <w:pStyle w:val="0"/>
        <w:spacing w:before="200" w:line-rule="auto"/>
        <w:ind w:firstLine="540"/>
        <w:jc w:val="both"/>
      </w:pPr>
      <w:r>
        <w:rPr>
          <w:sz w:val="20"/>
        </w:rPr>
        <w:t xml:space="preserve">346. При аномалии прикуса II степени (расстояние между резцами верхней и нижней челюсти в вертикальном и сагиттальном направлении - от 6 до 10 мм) и аномалии прикуса III степени (более 10 мм) официальное медицинское заключение выносится после консультации врача ортопеда-стоматолога с учетом прогноза заболевания после лечения (K07).</w:t>
      </w:r>
    </w:p>
    <w:p>
      <w:pPr>
        <w:pStyle w:val="0"/>
        <w:spacing w:before="200" w:line-rule="auto"/>
        <w:ind w:firstLine="540"/>
        <w:jc w:val="both"/>
      </w:pPr>
      <w:r>
        <w:rPr>
          <w:sz w:val="20"/>
        </w:rPr>
        <w:t xml:space="preserve">347. Кандидаты на получение медицинского заключения со значительным (выраженным) нарушением речи или голоса должны быть оценены как не годные к обучению и работе (F98.5; F98.6; R47 - R49).</w:t>
      </w:r>
    </w:p>
    <w:p>
      <w:pPr>
        <w:pStyle w:val="0"/>
        <w:spacing w:before="200" w:line-rule="auto"/>
        <w:ind w:firstLine="540"/>
        <w:jc w:val="both"/>
      </w:pPr>
      <w:r>
        <w:rPr>
          <w:sz w:val="20"/>
        </w:rPr>
        <w:t xml:space="preserve">348. Кандидаты на получение медицинского заключения, страдающие заиканием, косноязычием или другими дефектами речи, препятствующими ведению речевой связи, считаются не годными к работе (F98.5; F98.6; R47 - R49).</w:t>
      </w:r>
    </w:p>
    <w:p>
      <w:pPr>
        <w:pStyle w:val="0"/>
        <w:spacing w:before="200" w:line-rule="auto"/>
        <w:ind w:firstLine="540"/>
        <w:jc w:val="both"/>
      </w:pPr>
      <w:r>
        <w:rPr>
          <w:sz w:val="20"/>
        </w:rPr>
        <w:t xml:space="preserve">349. Нарушение произношения отдельных звуков, но с четкой разборчивой речью не является препятствием к работе (F80.0). Официальное медицинское заключение выносится после консультации профильных специалистов.</w:t>
      </w:r>
    </w:p>
    <w:p>
      <w:pPr>
        <w:pStyle w:val="0"/>
        <w:jc w:val="both"/>
      </w:pPr>
      <w:r>
        <w:rPr>
          <w:sz w:val="20"/>
        </w:rPr>
      </w:r>
    </w:p>
    <w:p>
      <w:pPr>
        <w:pStyle w:val="2"/>
        <w:outlineLvl w:val="2"/>
        <w:jc w:val="center"/>
      </w:pPr>
      <w:r>
        <w:rPr>
          <w:sz w:val="20"/>
        </w:rPr>
        <w:t xml:space="preserve">XVI. Дерматология (L00 - L99)</w:t>
      </w:r>
    </w:p>
    <w:p>
      <w:pPr>
        <w:pStyle w:val="0"/>
        <w:jc w:val="both"/>
      </w:pPr>
      <w:r>
        <w:rPr>
          <w:sz w:val="20"/>
        </w:rPr>
      </w:r>
    </w:p>
    <w:p>
      <w:pPr>
        <w:pStyle w:val="0"/>
        <w:ind w:firstLine="540"/>
        <w:jc w:val="both"/>
      </w:pPr>
      <w:r>
        <w:rPr>
          <w:sz w:val="20"/>
        </w:rPr>
        <w:t xml:space="preserve">350. В случае если кандидаты на получение медицинского заключения не имеют каких-либо дерматологических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351. Кожные заболевания (псориаз (L40), псориазоподобные заболевания, красный плоский лишай (L43), приобретенный ихтиоз (L85.0), врожденный ихтиоз (Q80), атопический дерматит (L20.8), простой хронический лишай и почесуха (L28), крапивница (L50), дерматит и экзема (L20 - L30), васкулиты (L95), красная волчанка (L93), другие локализованные изменения соединительной ткани, в том числе локализованная склеродермия (L94), инфекции кожи и подкожной клетчатки (L00 - L08), имеющие хроническое, часто рецидивирующее течение, распространенные формы поражения кожи, а также локализованные кожные процессы, затрудняющие ношение формы, использование специального снаряжения (уши, кисти, шея, стопы, половые органы), являются основаниями для вынесения заключения о негодности к обучению и работе.</w:t>
      </w:r>
    </w:p>
    <w:p>
      <w:pPr>
        <w:pStyle w:val="0"/>
        <w:spacing w:before="200" w:line-rule="auto"/>
        <w:ind w:firstLine="540"/>
        <w:jc w:val="both"/>
      </w:pPr>
      <w:r>
        <w:rPr>
          <w:sz w:val="20"/>
        </w:rPr>
        <w:t xml:space="preserve">352. Ограниченные, редко рецидивирующие формы заболеваний кожи, легко поддающиеся лечению, являются возможным основанием для вынесения решения о годности к обучению и работе в порядке индивидуальной оценки при соответствующем заключении врача-дерматовенеролога.</w:t>
      </w:r>
    </w:p>
    <w:p>
      <w:pPr>
        <w:pStyle w:val="0"/>
        <w:spacing w:before="200" w:line-rule="auto"/>
        <w:ind w:firstLine="540"/>
        <w:jc w:val="both"/>
      </w:pPr>
      <w:r>
        <w:rPr>
          <w:sz w:val="20"/>
        </w:rPr>
        <w:t xml:space="preserve">353. Кандидаты на получение медицинского заключения, страдающие пузырчаткой (L10), признаются не годными к обучению и работе.</w:t>
      </w:r>
    </w:p>
    <w:p>
      <w:pPr>
        <w:pStyle w:val="0"/>
        <w:spacing w:before="200" w:line-rule="auto"/>
        <w:ind w:firstLine="540"/>
        <w:jc w:val="both"/>
      </w:pPr>
      <w:r>
        <w:rPr>
          <w:sz w:val="20"/>
        </w:rPr>
        <w:t xml:space="preserve">354. Оценка годности при заболеваниях придатков кожи, в том числе при угрях (L70), различных видах алопеции (L63, L66), розацеа (L71), гипертрихозе (L68), зависит от формы, степени выраженности, особенностей течения и этиологии заболевания. В том случае, когда заболевания придатков кожи имеют вторичный характер (на фоне эндокринных нарушений, аутоиммунных состояний), годность к обучению и работе оценивается по основному заболеванию.</w:t>
      </w:r>
    </w:p>
    <w:p>
      <w:pPr>
        <w:pStyle w:val="0"/>
        <w:jc w:val="both"/>
      </w:pPr>
      <w:r>
        <w:rPr>
          <w:sz w:val="20"/>
        </w:rPr>
      </w:r>
    </w:p>
    <w:p>
      <w:pPr>
        <w:pStyle w:val="2"/>
        <w:outlineLvl w:val="2"/>
        <w:jc w:val="center"/>
      </w:pPr>
      <w:r>
        <w:rPr>
          <w:sz w:val="20"/>
        </w:rPr>
        <w:t xml:space="preserve">XVII. Онкология (C00 - D48)</w:t>
      </w:r>
    </w:p>
    <w:p>
      <w:pPr>
        <w:pStyle w:val="0"/>
        <w:jc w:val="both"/>
      </w:pPr>
      <w:r>
        <w:rPr>
          <w:sz w:val="20"/>
        </w:rPr>
      </w:r>
    </w:p>
    <w:p>
      <w:pPr>
        <w:pStyle w:val="0"/>
        <w:ind w:firstLine="540"/>
        <w:jc w:val="both"/>
      </w:pPr>
      <w:r>
        <w:rPr>
          <w:sz w:val="20"/>
        </w:rPr>
        <w:t xml:space="preserve">355. Кандидаты на получение медицинского заключения не должны иметь признаков (клинических, лабораторных, инструментальных) первичных или вторичных злокачественных поражений (C00 - C97) (что подтверждается результатами лабораторных, инструментальных и других видов обследований), препятствующих выполнению профессиональных обязанностей, предусмотренных соответствующим свидетельством.</w:t>
      </w:r>
    </w:p>
    <w:p>
      <w:pPr>
        <w:pStyle w:val="0"/>
        <w:spacing w:before="200" w:line-rule="auto"/>
        <w:ind w:firstLine="540"/>
        <w:jc w:val="both"/>
      </w:pPr>
      <w:r>
        <w:rPr>
          <w:sz w:val="20"/>
        </w:rPr>
        <w:t xml:space="preserve">356. При выявлении злокачественной опухоли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После проведенного специального лечения злокачественного заболевания кандидаты на получение медицинского заключения проходят обследование на основе клинических рекомендаций и с учетом стандартов медицинской помощи по профилю "онкология" перед осуществлением медицинского освидетельствования и принятием экспертного решения.</w:t>
      </w:r>
    </w:p>
    <w:p>
      <w:pPr>
        <w:pStyle w:val="0"/>
        <w:spacing w:before="200" w:line-rule="auto"/>
        <w:ind w:firstLine="540"/>
        <w:jc w:val="both"/>
      </w:pPr>
      <w:r>
        <w:rPr>
          <w:sz w:val="20"/>
        </w:rPr>
        <w:t xml:space="preserve">357. Кандидаты на получение медицинского заключения с кодами клинического диагноза по </w:t>
      </w:r>
      <w:hyperlink w:history="0" r:id="rId12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C00 - C14, C30 - C32, C47, C69 - C72, D10, D14, D36.1 рассматриваются как не годные к обучению и работе без права возобновления медицинского заключения.</w:t>
      </w:r>
    </w:p>
    <w:p>
      <w:pPr>
        <w:pStyle w:val="0"/>
        <w:spacing w:before="200" w:line-rule="auto"/>
        <w:ind w:firstLine="540"/>
        <w:jc w:val="both"/>
      </w:pPr>
      <w:r>
        <w:rPr>
          <w:sz w:val="20"/>
        </w:rPr>
        <w:t xml:space="preserve">358. При отсутствии метастазов в головной мозг, рецидивов, генерализации опухолевого процесса вопрос о допуске к работе рассматривается не ранее чем через 6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стадия опухоли по классификации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с ограничением TML.</w:t>
      </w:r>
    </w:p>
    <w:p>
      <w:pPr>
        <w:pStyle w:val="0"/>
        <w:spacing w:before="200" w:line-rule="auto"/>
        <w:ind w:firstLine="540"/>
        <w:jc w:val="both"/>
      </w:pPr>
      <w:r>
        <w:rPr>
          <w:sz w:val="20"/>
        </w:rPr>
        <w:t xml:space="preserve">359. При патоморфологическом заключении рак in situ (D00 - D09) независимо от локализации опухоли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p>
      <w:pPr>
        <w:pStyle w:val="0"/>
        <w:spacing w:before="200" w:line-rule="auto"/>
        <w:ind w:firstLine="540"/>
        <w:jc w:val="both"/>
      </w:pPr>
      <w:r>
        <w:rPr>
          <w:sz w:val="20"/>
        </w:rPr>
        <w:t xml:space="preserve">360. При выявлении доброкачественной опухоли (D10 - D36) оценивается возможность безопасного выполнения профессиональных обязанностей, предусмотренных соответствующим свидетельством, с рекомендацией лечения в плановом порядке. Сроки допуска к работе после удаления доброкачественных опухолей определяются масштабами операции и ее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p>
      <w:pPr>
        <w:pStyle w:val="0"/>
        <w:spacing w:before="200" w:line-rule="auto"/>
        <w:ind w:firstLine="540"/>
        <w:jc w:val="both"/>
      </w:pPr>
      <w:r>
        <w:rPr>
          <w:sz w:val="20"/>
        </w:rPr>
        <w:t xml:space="preserve">361. Доброкачественные опухоли, а также костно-хрящевые экзостозы, узловой зоб (E05.2, E01.1, E04.9) кистозные новообразования, аденома предстательной железы (N40), мастопатии (N60) оцениваются по степени нарушения функций органов и болевого синдрома. Доброкачественные опухоли небольших размеров без тенденции к росту, не мешающих ношению одежды и обуви, не являются основанием для отказа в выдаче медицинского заключения.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Порядку</w:t>
      </w:r>
    </w:p>
    <w:p>
      <w:pPr>
        <w:pStyle w:val="0"/>
        <w:jc w:val="both"/>
      </w:pPr>
      <w:r>
        <w:rPr>
          <w:sz w:val="20"/>
        </w:rPr>
      </w:r>
    </w:p>
    <w:bookmarkStart w:id="1709" w:name="P1709"/>
    <w:bookmarkEnd w:id="1709"/>
    <w:p>
      <w:pPr>
        <w:pStyle w:val="2"/>
        <w:jc w:val="center"/>
      </w:pPr>
      <w:r>
        <w:rPr>
          <w:sz w:val="20"/>
        </w:rPr>
        <w:t xml:space="preserve">ТРЕБОВАНИЯ</w:t>
      </w:r>
    </w:p>
    <w:p>
      <w:pPr>
        <w:pStyle w:val="2"/>
        <w:jc w:val="center"/>
      </w:pPr>
      <w:r>
        <w:rPr>
          <w:sz w:val="20"/>
        </w:rPr>
        <w:t xml:space="preserve">К СОСТОЯНИЮ ЗДОРОВЬЯ, ПРЕДЪЯВЛЯЕМЫЕ К КАНДИДАТУ НА ПОЛУЧЕНИЕ</w:t>
      </w:r>
    </w:p>
    <w:p>
      <w:pPr>
        <w:pStyle w:val="2"/>
        <w:jc w:val="center"/>
      </w:pPr>
      <w:r>
        <w:rPr>
          <w:sz w:val="20"/>
        </w:rPr>
        <w:t xml:space="preserve">МЕДИЦИНСКОГО ЗАКЛЮЧЕНИЯ КЛАССА 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2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jc w:val="center"/>
      </w:pPr>
      <w:r>
        <w:rPr>
          <w:sz w:val="20"/>
        </w:rPr>
        <w:t xml:space="preserve">I. Сердечно-сосудистая система</w:t>
      </w:r>
    </w:p>
    <w:p>
      <w:pPr>
        <w:pStyle w:val="0"/>
        <w:jc w:val="both"/>
      </w:pPr>
      <w:r>
        <w:rPr>
          <w:sz w:val="20"/>
        </w:rPr>
      </w:r>
    </w:p>
    <w:p>
      <w:pPr>
        <w:pStyle w:val="2"/>
        <w:outlineLvl w:val="3"/>
        <w:jc w:val="center"/>
      </w:pPr>
      <w:r>
        <w:rPr>
          <w:sz w:val="20"/>
        </w:rPr>
        <w:t xml:space="preserve">Заболевания коронарных артерий (I20 - I25)</w:t>
      </w:r>
    </w:p>
    <w:p>
      <w:pPr>
        <w:pStyle w:val="2"/>
        <w:jc w:val="center"/>
      </w:pPr>
      <w:r>
        <w:rPr>
          <w:sz w:val="20"/>
        </w:rPr>
        <w:t xml:space="preserve">Стенокардия. Безболевая ишемия миокарда (I20)</w:t>
      </w:r>
    </w:p>
    <w:p>
      <w:pPr>
        <w:pStyle w:val="0"/>
        <w:jc w:val="both"/>
      </w:pPr>
      <w:r>
        <w:rPr>
          <w:sz w:val="20"/>
        </w:rPr>
      </w:r>
    </w:p>
    <w:p>
      <w:pPr>
        <w:pStyle w:val="0"/>
        <w:ind w:firstLine="540"/>
        <w:jc w:val="both"/>
      </w:pPr>
      <w:r>
        <w:rPr>
          <w:sz w:val="20"/>
        </w:rPr>
        <w:t xml:space="preserve">1. Кандидаты на получение медицинского заключения 2 класса при подозрении на ишемию миокарда подлежат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2 класса с установленным диагнозом стенокардии либо с выявленными безболевыми формами ишемии миокарда признаются не годными к обучению и работе.</w:t>
      </w:r>
    </w:p>
    <w:p>
      <w:pPr>
        <w:pStyle w:val="0"/>
        <w:jc w:val="both"/>
      </w:pPr>
      <w:r>
        <w:rPr>
          <w:sz w:val="20"/>
        </w:rPr>
      </w:r>
    </w:p>
    <w:p>
      <w:pPr>
        <w:pStyle w:val="2"/>
        <w:outlineLvl w:val="3"/>
        <w:jc w:val="center"/>
      </w:pPr>
      <w:r>
        <w:rPr>
          <w:sz w:val="20"/>
        </w:rPr>
        <w:t xml:space="preserve">Инфаркт миокарда, другие ишемические кардиальные</w:t>
      </w:r>
    </w:p>
    <w:p>
      <w:pPr>
        <w:pStyle w:val="2"/>
        <w:jc w:val="center"/>
      </w:pPr>
      <w:r>
        <w:rPr>
          <w:sz w:val="20"/>
        </w:rPr>
        <w:t xml:space="preserve">события, процедура реваскуляризации, атеросклеротическое</w:t>
      </w:r>
    </w:p>
    <w:p>
      <w:pPr>
        <w:pStyle w:val="2"/>
        <w:jc w:val="center"/>
      </w:pPr>
      <w:r>
        <w:rPr>
          <w:sz w:val="20"/>
        </w:rPr>
        <w:t xml:space="preserve">поражение коронарных артерий (I21 - I25)</w:t>
      </w:r>
    </w:p>
    <w:p>
      <w:pPr>
        <w:pStyle w:val="0"/>
        <w:jc w:val="both"/>
      </w:pPr>
      <w:r>
        <w:rPr>
          <w:sz w:val="20"/>
        </w:rPr>
      </w:r>
    </w:p>
    <w:p>
      <w:pPr>
        <w:pStyle w:val="0"/>
        <w:ind w:firstLine="540"/>
        <w:jc w:val="both"/>
      </w:pPr>
      <w:r>
        <w:rPr>
          <w:sz w:val="20"/>
        </w:rPr>
        <w:t xml:space="preserve">2. Освидетельствование кандидатов на получение медицинского заключения 2 класса проводится не ранее, чем через 6 месяцев после индексного события (острый коронарный синдром, инфаркт миокарда, процедура реваскуляризации при известном заболевании коронарной артерии - эндоваскулярное стентирование или шунтирование).</w:t>
      </w:r>
    </w:p>
    <w:p>
      <w:pPr>
        <w:pStyle w:val="0"/>
        <w:spacing w:before="200" w:line-rule="auto"/>
        <w:ind w:firstLine="540"/>
        <w:jc w:val="both"/>
      </w:pPr>
      <w:r>
        <w:rPr>
          <w:sz w:val="20"/>
        </w:rPr>
        <w:t xml:space="preserve">3. Медицинское заключение 2 класса не выдается:</w:t>
      </w:r>
    </w:p>
    <w:p>
      <w:pPr>
        <w:pStyle w:val="0"/>
        <w:spacing w:before="200" w:line-rule="auto"/>
        <w:ind w:firstLine="540"/>
        <w:jc w:val="both"/>
      </w:pPr>
      <w:r>
        <w:rPr>
          <w:sz w:val="20"/>
        </w:rPr>
        <w:t xml:space="preserve">при наличии любых клинических проявлений ишемической болезни сердца, включая бессимптомную ишемию миокарда;</w:t>
      </w:r>
    </w:p>
    <w:p>
      <w:pPr>
        <w:pStyle w:val="0"/>
        <w:spacing w:before="200" w:line-rule="auto"/>
        <w:ind w:firstLine="540"/>
        <w:jc w:val="both"/>
      </w:pPr>
      <w:r>
        <w:rPr>
          <w:sz w:val="20"/>
        </w:rPr>
        <w:t xml:space="preserve">при необходимости приема медикаментозных препаратов, назначаемых для купирования симптомов ишемической болезни сердца, за исключением бета-адреноблокаторов;</w:t>
      </w:r>
    </w:p>
    <w:p>
      <w:pPr>
        <w:pStyle w:val="0"/>
        <w:spacing w:before="200" w:line-rule="auto"/>
        <w:ind w:firstLine="540"/>
        <w:jc w:val="both"/>
      </w:pPr>
      <w:r>
        <w:rPr>
          <w:sz w:val="20"/>
        </w:rPr>
        <w:t xml:space="preserve">при наличии любого нереваскуляризованного стеноза коронарных артерий &gt;= 50% следующих локализаций: передняя межжелудочковая артерия, огибающая артерия, задняя межжелудочковая артерия, правая коронарная артерия;</w:t>
      </w:r>
    </w:p>
    <w:p>
      <w:pPr>
        <w:pStyle w:val="0"/>
        <w:spacing w:before="200" w:line-rule="auto"/>
        <w:ind w:firstLine="540"/>
        <w:jc w:val="both"/>
      </w:pPr>
      <w:r>
        <w:rPr>
          <w:sz w:val="20"/>
        </w:rPr>
        <w:t xml:space="preserve">при наличии желудочковой экстрасистолии 4б и 5 градации по B. Lown и M. Wolf, желудочковой тахикардии;</w:t>
      </w:r>
    </w:p>
    <w:p>
      <w:pPr>
        <w:pStyle w:val="0"/>
        <w:spacing w:before="200" w:line-rule="auto"/>
        <w:ind w:firstLine="540"/>
        <w:jc w:val="both"/>
      </w:pPr>
      <w:r>
        <w:rPr>
          <w:sz w:val="20"/>
        </w:rPr>
        <w:t xml:space="preserve">при невозможности достижения нагрузки, соответствующей стадии IV протокола Брюса на тредмиле или ее эквивалента;</w:t>
      </w:r>
    </w:p>
    <w:p>
      <w:pPr>
        <w:pStyle w:val="0"/>
        <w:spacing w:before="200" w:line-rule="auto"/>
        <w:ind w:firstLine="540"/>
        <w:jc w:val="both"/>
      </w:pPr>
      <w:r>
        <w:rPr>
          <w:sz w:val="20"/>
        </w:rPr>
        <w:t xml:space="preserve">при наличии одного из следующих параметров при визуализации сердца по данным эхокардиографии (далее - значимая структурная патология сердца):</w:t>
      </w:r>
    </w:p>
    <w:p>
      <w:pPr>
        <w:pStyle w:val="0"/>
        <w:spacing w:before="200" w:line-rule="auto"/>
        <w:ind w:firstLine="540"/>
        <w:jc w:val="both"/>
      </w:pPr>
      <w:r>
        <w:rPr>
          <w:sz w:val="20"/>
        </w:rPr>
        <w:t xml:space="preserve">для мужчин: толщина межжелудочковой перегородки (МЖП) и задней стенки левого желудочка (ЗСЛЖ) &gt;= 1,4 см и/или масса миокарда левого желудочка (ММЛЖ) &gt;= 259 г, и/или индекс ММЛЖ/площадь поверхности тела (ППТ) &gt;= 132 г/м</w:t>
      </w:r>
      <w:r>
        <w:rPr>
          <w:sz w:val="20"/>
          <w:vertAlign w:val="superscript"/>
        </w:rPr>
        <w:t xml:space="preserve">2</w:t>
      </w:r>
      <w:r>
        <w:rPr>
          <w:sz w:val="20"/>
        </w:rPr>
        <w:t xml:space="preserve">; конечно-диастолический размер ЛЖ (КДР ЛЖ) &gt;= 6,4 см и/или и индекс КДР/ППТ &gt;= 3,5 см/м</w:t>
      </w:r>
      <w:r>
        <w:rPr>
          <w:sz w:val="20"/>
          <w:vertAlign w:val="superscript"/>
        </w:rPr>
        <w:t xml:space="preserve">2</w:t>
      </w:r>
      <w:r>
        <w:rPr>
          <w:sz w:val="20"/>
        </w:rPr>
        <w:t xml:space="preserve">; фракция выброса ЛЖ (формула Симпсона) &lt;= 54%;</w:t>
      </w:r>
    </w:p>
    <w:p>
      <w:pPr>
        <w:pStyle w:val="0"/>
        <w:spacing w:before="200" w:line-rule="auto"/>
        <w:ind w:firstLine="540"/>
        <w:jc w:val="both"/>
      </w:pPr>
      <w:r>
        <w:rPr>
          <w:sz w:val="20"/>
        </w:rPr>
        <w:t xml:space="preserve">для женщин: толщина межжелудочковой перегородки (МЖП) и задней стенки левого желудочка (ЗСЛЖ) &gt;= 1,3 см и/или масса миокарда левого желудочка (ММЛЖ) &gt;= 210 г, и/или индекс ММЛЖ/площадь поверхности тела (ППТ) &gt;= 109 г/м</w:t>
      </w:r>
      <w:r>
        <w:rPr>
          <w:sz w:val="20"/>
          <w:vertAlign w:val="superscript"/>
        </w:rPr>
        <w:t xml:space="preserve">2</w:t>
      </w:r>
      <w:r>
        <w:rPr>
          <w:sz w:val="20"/>
        </w:rPr>
        <w:t xml:space="preserve">; конечно-диастолический размер ЛЖ (КДР ЛЖ) &gt;= 5,8 см и/или и индекс КДР/ППТ &gt;= 3,5 см/м</w:t>
      </w:r>
      <w:r>
        <w:rPr>
          <w:sz w:val="20"/>
          <w:vertAlign w:val="superscript"/>
        </w:rPr>
        <w:t xml:space="preserve">2</w:t>
      </w:r>
      <w:r>
        <w:rPr>
          <w:sz w:val="20"/>
        </w:rPr>
        <w:t xml:space="preserve">; фракция выброса ЛЖ (формула Симпсона) &lt;= 54%.</w:t>
      </w:r>
    </w:p>
    <w:p>
      <w:pPr>
        <w:pStyle w:val="0"/>
        <w:spacing w:before="200" w:line-rule="auto"/>
        <w:ind w:firstLine="540"/>
        <w:jc w:val="both"/>
      </w:pPr>
      <w:r>
        <w:rPr>
          <w:sz w:val="20"/>
        </w:rPr>
        <w:t xml:space="preserve">4. Выдача медицинского заключения 2 класса допускается в том случае, если кандидаты на получение медицинского заключения 2 класса минимизировали все корригируемые факторы сердечно-сосудистого риска (дислипидемия - уровни ХС &lt; 5 ммоль/л, ЛПНП &lt; 3 ммоль/л, артериальная гипертензия - уровень АД &lt; 140/90 мм рт.ст., гипергликемия - уровень гликированного гемоглобина (HbA1c) &lt; 7%, снижение функции почек - уровень СКФ &gt;= 60 мл/мин/1,73 м</w:t>
      </w:r>
      <w:r>
        <w:rPr>
          <w:sz w:val="20"/>
          <w:vertAlign w:val="superscript"/>
        </w:rPr>
        <w:t xml:space="preserve">2</w:t>
      </w:r>
      <w:r>
        <w:rPr>
          <w:sz w:val="20"/>
        </w:rPr>
        <w:t xml:space="preserve">, ожирение - снижение ИМТ &lt; 30 кг/м</w:t>
      </w:r>
      <w:r>
        <w:rPr>
          <w:sz w:val="20"/>
          <w:vertAlign w:val="superscript"/>
        </w:rPr>
        <w:t xml:space="preserve">2</w:t>
      </w:r>
      <w:r>
        <w:rPr>
          <w:sz w:val="20"/>
        </w:rPr>
        <w:t xml:space="preserve">, гиперурикемия - уровень мочевой кислоты &gt;= 360 мкмоль/л у женщин, &gt;= 420 мкмоль/л у мужчин, курение - полный отказ от курения) до приемлемого уровня и проходят регулярное (минимум один раз в год) кардиологического обследования.</w:t>
      </w:r>
    </w:p>
    <w:p>
      <w:pPr>
        <w:pStyle w:val="0"/>
        <w:jc w:val="both"/>
      </w:pPr>
      <w:r>
        <w:rPr>
          <w:sz w:val="20"/>
        </w:rPr>
      </w:r>
    </w:p>
    <w:p>
      <w:pPr>
        <w:pStyle w:val="2"/>
        <w:outlineLvl w:val="3"/>
        <w:jc w:val="center"/>
      </w:pPr>
      <w:r>
        <w:rPr>
          <w:sz w:val="20"/>
        </w:rPr>
        <w:t xml:space="preserve">Нарушения ритма сердца и проводимости сердца</w:t>
      </w:r>
    </w:p>
    <w:p>
      <w:pPr>
        <w:pStyle w:val="2"/>
        <w:jc w:val="center"/>
      </w:pPr>
      <w:r>
        <w:rPr>
          <w:sz w:val="20"/>
        </w:rPr>
        <w:t xml:space="preserve">Предсердная экстрасистолия (I49.1 - I49.2)</w:t>
      </w:r>
    </w:p>
    <w:p>
      <w:pPr>
        <w:pStyle w:val="0"/>
        <w:jc w:val="both"/>
      </w:pPr>
      <w:r>
        <w:rPr>
          <w:sz w:val="20"/>
        </w:rPr>
      </w:r>
    </w:p>
    <w:p>
      <w:pPr>
        <w:pStyle w:val="0"/>
        <w:ind w:firstLine="540"/>
        <w:jc w:val="both"/>
      </w:pPr>
      <w:r>
        <w:rPr>
          <w:sz w:val="20"/>
        </w:rPr>
        <w:t xml:space="preserve">5. Наджелудочковая экстрасистолия не является основанием для вынесения решения о негодности к обучению и работе за исключением ее симптомного течения или при индукции наджелудочковыми экстрасистолами пароксизмальных наджелудочковых нарушений ритма сердца, выявленных при проведении кардиологического обследования и подразумевающих вынесение решения о негодности к обучению и работе.</w:t>
      </w:r>
    </w:p>
    <w:p>
      <w:pPr>
        <w:pStyle w:val="0"/>
        <w:jc w:val="both"/>
      </w:pPr>
      <w:r>
        <w:rPr>
          <w:sz w:val="20"/>
        </w:rPr>
      </w:r>
    </w:p>
    <w:p>
      <w:pPr>
        <w:pStyle w:val="2"/>
        <w:outlineLvl w:val="3"/>
        <w:jc w:val="center"/>
      </w:pPr>
      <w:r>
        <w:rPr>
          <w:sz w:val="20"/>
        </w:rPr>
        <w:t xml:space="preserve">Желудочковая экстрасистолия и желудочковая тахикардия</w:t>
      </w:r>
    </w:p>
    <w:p>
      <w:pPr>
        <w:pStyle w:val="2"/>
        <w:jc w:val="center"/>
      </w:pPr>
      <w:r>
        <w:rPr>
          <w:sz w:val="20"/>
        </w:rPr>
        <w:t xml:space="preserve">(I49.3, I47.0, I47.2)</w:t>
      </w:r>
    </w:p>
    <w:p>
      <w:pPr>
        <w:pStyle w:val="0"/>
        <w:jc w:val="both"/>
      </w:pPr>
      <w:r>
        <w:rPr>
          <w:sz w:val="20"/>
        </w:rPr>
      </w:r>
    </w:p>
    <w:p>
      <w:pPr>
        <w:pStyle w:val="0"/>
        <w:ind w:firstLine="540"/>
        <w:jc w:val="both"/>
      </w:pPr>
      <w:r>
        <w:rPr>
          <w:sz w:val="20"/>
        </w:rPr>
        <w:t xml:space="preserve">6. Бессимптомная желудочковая экстрасистолия 1 градации по B. Lown и M. Wolf, в модификации M. Ryan (менее 5 экстрасистол в минуту по данным ЭКГ и менее 30 экстрасистол в час при мониторировании суточной ЭКГ) не является основанием вынесения решения о негодности к обучению и работе и проведения кардиологического обследования.</w:t>
      </w:r>
    </w:p>
    <w:p>
      <w:pPr>
        <w:pStyle w:val="0"/>
        <w:spacing w:before="200" w:line-rule="auto"/>
        <w:ind w:firstLine="540"/>
        <w:jc w:val="both"/>
      </w:pPr>
      <w:r>
        <w:rPr>
          <w:sz w:val="20"/>
        </w:rPr>
        <w:t xml:space="preserve">7. Кандидаты на получение медицинского заключения 2 класса с желудочковыми экстрасистолами 2, 3 и 4а - б градаций по B. Lown и M. Wolf, в модификации M. Ryan, подлежат кардиологическому обследованию.</w:t>
      </w:r>
    </w:p>
    <w:p>
      <w:pPr>
        <w:pStyle w:val="0"/>
        <w:spacing w:before="200" w:line-rule="auto"/>
        <w:ind w:firstLine="540"/>
        <w:jc w:val="both"/>
      </w:pPr>
      <w:r>
        <w:rPr>
          <w:sz w:val="20"/>
        </w:rPr>
        <w:t xml:space="preserve">8. Кандидатам на получение медицинского заключения 2 класса с эпизодами желудочковой экстрасистолии 5 градаций по B. Lown и M. Wolf, в модификации M. Ryan, эпизодами желудочковой тахикардии после подтверждения диагноза в ходе кардиологического обследования выносится решение о негодности.</w:t>
      </w:r>
    </w:p>
    <w:p>
      <w:pPr>
        <w:pStyle w:val="0"/>
        <w:jc w:val="both"/>
      </w:pPr>
      <w:r>
        <w:rPr>
          <w:sz w:val="20"/>
        </w:rPr>
      </w:r>
    </w:p>
    <w:p>
      <w:pPr>
        <w:pStyle w:val="2"/>
        <w:outlineLvl w:val="3"/>
        <w:jc w:val="center"/>
      </w:pPr>
      <w:r>
        <w:rPr>
          <w:sz w:val="20"/>
        </w:rPr>
        <w:t xml:space="preserve">Заболевание синоатриального узла (синдром слабости</w:t>
      </w:r>
    </w:p>
    <w:p>
      <w:pPr>
        <w:pStyle w:val="2"/>
        <w:jc w:val="center"/>
      </w:pPr>
      <w:r>
        <w:rPr>
          <w:sz w:val="20"/>
        </w:rPr>
        <w:t xml:space="preserve">синусового узла) (I49.5)</w:t>
      </w:r>
    </w:p>
    <w:p>
      <w:pPr>
        <w:pStyle w:val="0"/>
        <w:jc w:val="both"/>
      </w:pPr>
      <w:r>
        <w:rPr>
          <w:sz w:val="20"/>
        </w:rPr>
      </w:r>
    </w:p>
    <w:p>
      <w:pPr>
        <w:pStyle w:val="0"/>
        <w:ind w:firstLine="540"/>
        <w:jc w:val="both"/>
      </w:pPr>
      <w:r>
        <w:rPr>
          <w:sz w:val="20"/>
        </w:rPr>
        <w:t xml:space="preserve">9. Кандидаты на получение медицинского заключения 2 класса с выявленными проявлениями патологии синоатриального узла (синусовые паузы &gt;= 2,0 сек., синусовая брадикардия в покое днем с ЧСС &lt;= 40 уд/мин, ночью &lt;= 30 уд/мин, невозможность достижения 80% субмаксимальной ЧСС, рассчитанной по формуле 220 - возраст) подлежат кардиологическому обследованию.</w:t>
      </w:r>
    </w:p>
    <w:p>
      <w:pPr>
        <w:pStyle w:val="0"/>
        <w:spacing w:before="200" w:line-rule="auto"/>
        <w:ind w:firstLine="540"/>
        <w:jc w:val="both"/>
      </w:pPr>
      <w:r>
        <w:rPr>
          <w:sz w:val="20"/>
        </w:rPr>
        <w:t xml:space="preserve">10. Медицинское заключение 2 класса не выдается:</w:t>
      </w:r>
    </w:p>
    <w:p>
      <w:pPr>
        <w:pStyle w:val="0"/>
        <w:spacing w:before="200" w:line-rule="auto"/>
        <w:ind w:firstLine="540"/>
        <w:jc w:val="both"/>
      </w:pPr>
      <w:r>
        <w:rPr>
          <w:sz w:val="20"/>
        </w:rPr>
        <w:t xml:space="preserve">при наличии синусовых пауз &gt;= 3,0 сек;</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11. Не являются основаниями для вынесения решения о негодности после кардиологического обследования бессимптоматическая синусовая брадикардия и наличие бессимптомных синусовых пауз &lt;= 3,0 сек. при значимой структурной патологии сердца и отсутствии клинических проявлений, выявленных при проведении кардиологического обследования, в этом случае допускается выдача медицинского заключения 2 класса.</w:t>
      </w:r>
    </w:p>
    <w:p>
      <w:pPr>
        <w:pStyle w:val="0"/>
        <w:jc w:val="both"/>
      </w:pPr>
      <w:r>
        <w:rPr>
          <w:sz w:val="20"/>
        </w:rPr>
      </w:r>
    </w:p>
    <w:p>
      <w:pPr>
        <w:pStyle w:val="2"/>
        <w:outlineLvl w:val="3"/>
        <w:jc w:val="center"/>
      </w:pPr>
      <w:r>
        <w:rPr>
          <w:sz w:val="20"/>
        </w:rPr>
        <w:t xml:space="preserve">Предсердная тахиаритмия (I47.1)</w:t>
      </w:r>
    </w:p>
    <w:p>
      <w:pPr>
        <w:pStyle w:val="0"/>
        <w:jc w:val="both"/>
      </w:pPr>
      <w:r>
        <w:rPr>
          <w:sz w:val="20"/>
        </w:rPr>
      </w:r>
    </w:p>
    <w:p>
      <w:pPr>
        <w:pStyle w:val="0"/>
        <w:ind w:firstLine="540"/>
        <w:jc w:val="both"/>
      </w:pPr>
      <w:r>
        <w:rPr>
          <w:sz w:val="20"/>
        </w:rPr>
        <w:t xml:space="preserve">12. Кандидаты на получение медицинского заключения 2 класса с выявленными эпизодами предсердной тахиаритмии подлежат кардиологическому обследованию.</w:t>
      </w:r>
    </w:p>
    <w:p>
      <w:pPr>
        <w:pStyle w:val="0"/>
        <w:spacing w:before="200" w:line-rule="auto"/>
        <w:ind w:firstLine="540"/>
        <w:jc w:val="both"/>
      </w:pPr>
      <w:r>
        <w:rPr>
          <w:sz w:val="20"/>
        </w:rPr>
        <w:t xml:space="preserve">13. При выявлении у кандидатов на получение медицинского заключения 2 класса эпизодов пароксизмальной синусовой или предсердной (фокусной) тахиаритмии, медицинское заключение 2 класса не выдается:</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при продолжительности пароксизмов более 30 сек. и частоте сердечных сокращений (ЧСС) более 150 уд/мин.</w:t>
      </w:r>
    </w:p>
    <w:p>
      <w:pPr>
        <w:pStyle w:val="0"/>
        <w:jc w:val="both"/>
      </w:pPr>
      <w:r>
        <w:rPr>
          <w:sz w:val="20"/>
        </w:rPr>
      </w:r>
    </w:p>
    <w:p>
      <w:pPr>
        <w:pStyle w:val="2"/>
        <w:outlineLvl w:val="3"/>
        <w:jc w:val="center"/>
      </w:pPr>
      <w:r>
        <w:rPr>
          <w:sz w:val="20"/>
        </w:rPr>
        <w:t xml:space="preserve">Фибрилляция предсердия и трепетание предсердий (I48)</w:t>
      </w:r>
    </w:p>
    <w:p>
      <w:pPr>
        <w:pStyle w:val="0"/>
        <w:jc w:val="both"/>
      </w:pPr>
      <w:r>
        <w:rPr>
          <w:sz w:val="20"/>
        </w:rPr>
      </w:r>
    </w:p>
    <w:p>
      <w:pPr>
        <w:pStyle w:val="0"/>
        <w:ind w:firstLine="540"/>
        <w:jc w:val="both"/>
      </w:pPr>
      <w:r>
        <w:rPr>
          <w:sz w:val="20"/>
        </w:rPr>
        <w:t xml:space="preserve">14. При выявлении у кандидатов на получение медицинского заключения 2 класса во время освидетельствования или в анамнезе эпизодов фибрилляции предсердий/трепетания предсердий медицинское заключение 2 класса не выдается:</w:t>
      </w:r>
    </w:p>
    <w:p>
      <w:pPr>
        <w:pStyle w:val="0"/>
        <w:spacing w:before="200" w:line-rule="auto"/>
        <w:ind w:firstLine="540"/>
        <w:jc w:val="both"/>
      </w:pPr>
      <w:r>
        <w:rPr>
          <w:sz w:val="20"/>
        </w:rPr>
        <w:t xml:space="preserve">при значимой структурной патологии сердца;</w:t>
      </w:r>
    </w:p>
    <w:p>
      <w:pPr>
        <w:pStyle w:val="0"/>
        <w:spacing w:before="200" w:line-rule="auto"/>
        <w:ind w:firstLine="540"/>
        <w:jc w:val="both"/>
      </w:pPr>
      <w:r>
        <w:rPr>
          <w:sz w:val="20"/>
        </w:rPr>
        <w:t xml:space="preserve">при наличии транзиторной ишемической атаки и/или ишемического инсульта в анамнезе;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при наличии фибрилляции предсердий/трепетания предсердий при трехкратном суточном мониторировании ЭКГ, выполненном с регулярной периодичностью в течение 3 месяцев.</w:t>
      </w:r>
    </w:p>
    <w:p>
      <w:pPr>
        <w:pStyle w:val="0"/>
        <w:spacing w:before="200" w:line-rule="auto"/>
        <w:ind w:firstLine="540"/>
        <w:jc w:val="both"/>
      </w:pPr>
      <w:r>
        <w:rPr>
          <w:sz w:val="20"/>
        </w:rPr>
        <w:t xml:space="preserve">15. Выдача медицинского заключения допускается, если кандидат на получение медицинского заключения 2 класса минимизировал все корригируемые факторы сердечно-сосудистого риска до приемлемого уровня и регулярно (минимум один раз в год) проходит кардиологическое обследование, а также, в случае потребности регулярно получает разрешенную медикаментозную терапию.</w:t>
      </w:r>
    </w:p>
    <w:p>
      <w:pPr>
        <w:pStyle w:val="0"/>
        <w:spacing w:before="200" w:line-rule="auto"/>
        <w:ind w:firstLine="540"/>
        <w:jc w:val="both"/>
      </w:pPr>
      <w:r>
        <w:rPr>
          <w:sz w:val="20"/>
        </w:rPr>
        <w:t xml:space="preserve">16. При проведении эндоваскулярного хирургического лечения фибрилляции предсердий/трепетания предсердий медицинское заключение заключение 2 класса может быть выдано не ранее чем через 6 месяцев при отмене антиаритмической и антикоагулянтной терапии.</w:t>
      </w:r>
    </w:p>
    <w:p>
      <w:pPr>
        <w:pStyle w:val="0"/>
        <w:spacing w:before="200" w:line-rule="auto"/>
        <w:ind w:firstLine="540"/>
        <w:jc w:val="both"/>
      </w:pPr>
      <w:r>
        <w:rPr>
          <w:sz w:val="20"/>
        </w:rPr>
        <w:t xml:space="preserve">17. Необходимо соблюдение следующих условий для выдачи медицинского заключения 2 класса:</w:t>
      </w:r>
    </w:p>
    <w:p>
      <w:pPr>
        <w:pStyle w:val="0"/>
        <w:spacing w:before="200" w:line-rule="auto"/>
        <w:ind w:firstLine="540"/>
        <w:jc w:val="both"/>
      </w:pPr>
      <w:r>
        <w:rPr>
          <w:sz w:val="20"/>
        </w:rPr>
        <w:t xml:space="preserve">постоянное сохранение синусового ритма со средней частотой менее 90 уд/мин в дневное время;</w:t>
      </w:r>
    </w:p>
    <w:p>
      <w:pPr>
        <w:pStyle w:val="0"/>
        <w:spacing w:before="200" w:line-rule="auto"/>
        <w:ind w:firstLine="540"/>
        <w:jc w:val="both"/>
      </w:pPr>
      <w:r>
        <w:rPr>
          <w:sz w:val="20"/>
        </w:rPr>
        <w:t xml:space="preserve">нормальные значения гормонов щитовидной железы (уровень тиреотропного гормона (ТТГ &gt;= 0,4 мЕд/л и &lt;= 4,0 мЕд/л) и печеночных ферментов в биохимическом анализе крови (аланинаминотрансфераза (АЛТ) &lt;= 40 Ед/л, аспартатаминотрансфераза (АСТ) &lt;= 40 Ед/л);</w:t>
      </w:r>
    </w:p>
    <w:p>
      <w:pPr>
        <w:pStyle w:val="0"/>
        <w:spacing w:before="200" w:line-rule="auto"/>
        <w:ind w:firstLine="540"/>
        <w:jc w:val="both"/>
      </w:pPr>
      <w:r>
        <w:rPr>
          <w:sz w:val="20"/>
        </w:rPr>
        <w:t xml:space="preserve">нормальное значение среднего объема эритроцитов (MCV) 80 - 100 фл.;</w:t>
      </w:r>
    </w:p>
    <w:p>
      <w:pPr>
        <w:pStyle w:val="0"/>
        <w:spacing w:before="200" w:line-rule="auto"/>
        <w:ind w:firstLine="540"/>
        <w:jc w:val="both"/>
      </w:pPr>
      <w:r>
        <w:rPr>
          <w:sz w:val="20"/>
        </w:rPr>
        <w:t xml:space="preserve">отсутствие значимой структурной патологии сердца, внутренний диаметр левого предсердия (ВД ЛП) не превышает &lt;= 4,5 см, и индекс ВД ЛП/ППТ &lt;= 2,5 см/м</w:t>
      </w:r>
      <w:r>
        <w:rPr>
          <w:sz w:val="20"/>
          <w:vertAlign w:val="superscript"/>
        </w:rPr>
        <w:t xml:space="preserve">2</w:t>
      </w:r>
      <w:r>
        <w:rPr>
          <w:sz w:val="20"/>
        </w:rPr>
        <w:t xml:space="preserve">;</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фибрилляции предсердий/трепетания предсердий при трехкратном суточном мониторировании ЭКГ, выполненном с регулярной периодичностью в течение 3 месяцев при условии отмены антиаритмической и антикоагулянтной терапии;</w:t>
      </w:r>
    </w:p>
    <w:p>
      <w:pPr>
        <w:pStyle w:val="0"/>
        <w:spacing w:before="200" w:line-rule="auto"/>
        <w:ind w:firstLine="540"/>
        <w:jc w:val="both"/>
      </w:pPr>
      <w:r>
        <w:rPr>
          <w:sz w:val="20"/>
        </w:rPr>
        <w:t xml:space="preserve">при трепетании предсердий при электрофизиологическом исследовании определяется двунаправленная блокада кавотрикуспидального перешейка.</w:t>
      </w:r>
    </w:p>
    <w:p>
      <w:pPr>
        <w:pStyle w:val="0"/>
        <w:jc w:val="both"/>
      </w:pPr>
      <w:r>
        <w:rPr>
          <w:sz w:val="20"/>
        </w:rPr>
      </w:r>
    </w:p>
    <w:p>
      <w:pPr>
        <w:pStyle w:val="2"/>
        <w:outlineLvl w:val="3"/>
        <w:jc w:val="center"/>
      </w:pPr>
      <w:r>
        <w:rPr>
          <w:sz w:val="20"/>
        </w:rPr>
        <w:t xml:space="preserve">Атриовентрикулярная реципрокная узловая тахикардия (I47.1)</w:t>
      </w:r>
    </w:p>
    <w:p>
      <w:pPr>
        <w:pStyle w:val="0"/>
        <w:jc w:val="both"/>
      </w:pPr>
      <w:r>
        <w:rPr>
          <w:sz w:val="20"/>
        </w:rPr>
      </w:r>
    </w:p>
    <w:p>
      <w:pPr>
        <w:pStyle w:val="0"/>
        <w:ind w:firstLine="540"/>
        <w:jc w:val="both"/>
      </w:pPr>
      <w:r>
        <w:rPr>
          <w:sz w:val="20"/>
        </w:rPr>
        <w:t xml:space="preserve">18. Кандидаты на получение медицинского заключения 2 класса с атриовентрикулярной реципрокной узловой тахикардией подлежат кардиологическому обследованию.</w:t>
      </w:r>
    </w:p>
    <w:p>
      <w:pPr>
        <w:pStyle w:val="0"/>
        <w:spacing w:before="200" w:line-rule="auto"/>
        <w:ind w:firstLine="540"/>
        <w:jc w:val="both"/>
      </w:pPr>
      <w:r>
        <w:rPr>
          <w:sz w:val="20"/>
        </w:rPr>
        <w:t xml:space="preserve">19. При выявлении у кандидатов на получение медицинского заключения 2 класса во время освидетельствования или в анамнезе эпизодов атриовентрикулярной реципрокной узловой тахикардии медицинское заключение 2 класса не выдается:</w:t>
      </w:r>
    </w:p>
    <w:p>
      <w:pPr>
        <w:pStyle w:val="0"/>
        <w:spacing w:before="200" w:line-rule="auto"/>
        <w:ind w:firstLine="540"/>
        <w:jc w:val="both"/>
      </w:pPr>
      <w:r>
        <w:rPr>
          <w:sz w:val="20"/>
        </w:rPr>
        <w:t xml:space="preserve">при отсутствии проведения процедуры модификации медленного пути;</w:t>
      </w:r>
    </w:p>
    <w:p>
      <w:pPr>
        <w:pStyle w:val="0"/>
        <w:spacing w:before="200" w:line-rule="auto"/>
        <w:ind w:firstLine="540"/>
        <w:jc w:val="both"/>
      </w:pPr>
      <w:r>
        <w:rPr>
          <w:sz w:val="20"/>
        </w:rPr>
        <w:t xml:space="preserve">при наличии эпизода атриовентрикулярной реципрокной тахикардии при трехкратном холтеровском мониторировании ЭКГ, выполненном с регулярной периодичностью в течение 3 месяцев, прошедших с момента проведения процедуры модификации медленного пути;</w:t>
      </w:r>
    </w:p>
    <w:p>
      <w:pPr>
        <w:pStyle w:val="0"/>
        <w:spacing w:before="200" w:line-rule="auto"/>
        <w:ind w:firstLine="540"/>
        <w:jc w:val="both"/>
      </w:pPr>
      <w:r>
        <w:rPr>
          <w:sz w:val="20"/>
        </w:rPr>
        <w:t xml:space="preserve">при индуцировании нарушения ритма при электрофизиологическом исследовании;</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20. Выдача медицинского заключения допускается,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Атриовентрикулярная реципрокная тахикардия (I45.6)</w:t>
      </w:r>
    </w:p>
    <w:p>
      <w:pPr>
        <w:pStyle w:val="0"/>
        <w:jc w:val="both"/>
      </w:pPr>
      <w:r>
        <w:rPr>
          <w:sz w:val="20"/>
        </w:rPr>
      </w:r>
    </w:p>
    <w:p>
      <w:pPr>
        <w:pStyle w:val="0"/>
        <w:ind w:firstLine="540"/>
        <w:jc w:val="both"/>
      </w:pPr>
      <w:r>
        <w:rPr>
          <w:sz w:val="20"/>
        </w:rPr>
        <w:t xml:space="preserve">21. Кандидаты на получение медицинского заключения 2 класса с феноменом Вольфа-Паркинсона-Уайта (WPW) и с атриовентрикулярной реципрокной тахикардией с дополнительными путями проведения подлежат кардиологическому обследованию.</w:t>
      </w:r>
    </w:p>
    <w:p>
      <w:pPr>
        <w:pStyle w:val="0"/>
        <w:spacing w:before="200" w:line-rule="auto"/>
        <w:ind w:firstLine="540"/>
        <w:jc w:val="both"/>
      </w:pPr>
      <w:r>
        <w:rPr>
          <w:sz w:val="20"/>
        </w:rPr>
        <w:t xml:space="preserve">22. При выявлении у кандидатов на получение медицинского заключения 2 класса во время освидетельствования или в анамнезе феномена WPW и/или эпизодов атриовентрикулярной реципрокной тахикардии с дополнительными путями проведения медицинское заключение 2 класса не выдается:</w:t>
      </w:r>
    </w:p>
    <w:p>
      <w:pPr>
        <w:pStyle w:val="0"/>
        <w:spacing w:before="200" w:line-rule="auto"/>
        <w:ind w:firstLine="540"/>
        <w:jc w:val="both"/>
      </w:pPr>
      <w:r>
        <w:rPr>
          <w:sz w:val="20"/>
        </w:rPr>
        <w:t xml:space="preserve">при первичном освидетельствовании (за исключением случаев, когда у кандидата на получение медицинского заключения 2 класса с феноменом WPW при проведении электрофизиологического исследования доказан показатель эффективного рефрактерного периода дополнительных проводящих путей (ЭРП ДПП) &gt; 300 мс или у кандидата на получение медицинского заключения 2 класса проведена процедура эндоваскулярного хирургического лечения по поводу наличия дополнительных путей проведения);</w:t>
      </w:r>
    </w:p>
    <w:p>
      <w:pPr>
        <w:pStyle w:val="0"/>
        <w:spacing w:before="200" w:line-rule="auto"/>
        <w:ind w:firstLine="540"/>
        <w:jc w:val="both"/>
      </w:pPr>
      <w:r>
        <w:rPr>
          <w:sz w:val="20"/>
        </w:rPr>
        <w:t xml:space="preserve">при наличии признаков проведения по дополнительным проводящим путям эпизода атриовентрикулярной реципрокной тахикардии при трехкратном холтеровском мониторировании ЭКГ, выполненном с регулярной периодичностью в течение 3 месяцев, прошедших с момента проведения процедуры эндоваскулярного хирургического лечения по поводу добавочного проводящего пути;</w:t>
      </w:r>
    </w:p>
    <w:p>
      <w:pPr>
        <w:pStyle w:val="0"/>
        <w:spacing w:before="200" w:line-rule="auto"/>
        <w:ind w:firstLine="540"/>
        <w:jc w:val="both"/>
      </w:pPr>
      <w:r>
        <w:rPr>
          <w:sz w:val="20"/>
        </w:rPr>
        <w:t xml:space="preserve">при индуцировании при электрофизиологическом исследовании эпизода атриовентрикулярной реципрокной тахикардии или при определении показателя эффективного рефрактерного периода дополнительных проводящих путей (ЭРП ДПП) &lt; 300 мс;</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23. Выдача медицинского заключения допускается:</w:t>
      </w:r>
    </w:p>
    <w:p>
      <w:pPr>
        <w:pStyle w:val="0"/>
        <w:spacing w:before="200" w:line-rule="auto"/>
        <w:ind w:firstLine="540"/>
        <w:jc w:val="both"/>
      </w:pPr>
      <w:r>
        <w:rPr>
          <w:sz w:val="20"/>
        </w:rPr>
        <w:t xml:space="preserve">если была проведена процедура эндоваскулярного хирургического лечения по поводу добавочного проводящего пути, эффективность которой подтверждена результатами теста с аденозином или электрофизиологическим исследованием, или при проведении электрофизиологического исследования доказан показатель эффективного рефрактерного периода дополнительных проводящих путей (ЭРП ДПП) &gt; 300 мс;</w:t>
      </w:r>
    </w:p>
    <w:p>
      <w:pPr>
        <w:pStyle w:val="0"/>
        <w:spacing w:before="200" w:line-rule="auto"/>
        <w:ind w:firstLine="540"/>
        <w:jc w:val="both"/>
      </w:pPr>
      <w:r>
        <w:rPr>
          <w:sz w:val="20"/>
        </w:rPr>
        <w:t xml:space="preserve">если при трехкратном холтеровском мониторировании ЭКГ, выполненных с регулярной периодичностью в течение 3 месяцев, отсутствуют признаки проведения по дополнительным проводящим путям и эпизоды атриовентрикулярной реципрокной тахикардии;</w:t>
      </w:r>
    </w:p>
    <w:p>
      <w:pPr>
        <w:pStyle w:val="0"/>
        <w:spacing w:before="200" w:line-rule="auto"/>
        <w:ind w:firstLine="540"/>
        <w:jc w:val="both"/>
      </w:pPr>
      <w:r>
        <w:rPr>
          <w:sz w:val="20"/>
        </w:rPr>
        <w:t xml:space="preserve">если регулярно (не реже одного раза в год) проводится кардиологическое обследование.</w:t>
      </w:r>
    </w:p>
    <w:p>
      <w:pPr>
        <w:pStyle w:val="0"/>
        <w:jc w:val="both"/>
      </w:pPr>
      <w:r>
        <w:rPr>
          <w:sz w:val="20"/>
        </w:rPr>
      </w:r>
    </w:p>
    <w:p>
      <w:pPr>
        <w:pStyle w:val="2"/>
        <w:outlineLvl w:val="3"/>
        <w:jc w:val="center"/>
      </w:pPr>
      <w:r>
        <w:rPr>
          <w:sz w:val="20"/>
        </w:rPr>
        <w:t xml:space="preserve">Нарушение атриовентрикулярной проводимости (I44.0 - I44.3)</w:t>
      </w:r>
    </w:p>
    <w:p>
      <w:pPr>
        <w:pStyle w:val="0"/>
        <w:jc w:val="both"/>
      </w:pPr>
      <w:r>
        <w:rPr>
          <w:sz w:val="20"/>
        </w:rPr>
      </w:r>
    </w:p>
    <w:p>
      <w:pPr>
        <w:pStyle w:val="0"/>
        <w:ind w:firstLine="540"/>
        <w:jc w:val="both"/>
      </w:pPr>
      <w:r>
        <w:rPr>
          <w:sz w:val="20"/>
        </w:rPr>
        <w:t xml:space="preserve">24. Выявление атриовентрикулярной блокады I степени не является основанием для дисквалификации за исключением ее симптомного течения.</w:t>
      </w:r>
    </w:p>
    <w:p>
      <w:pPr>
        <w:pStyle w:val="0"/>
        <w:spacing w:before="200" w:line-rule="auto"/>
        <w:ind w:firstLine="540"/>
        <w:jc w:val="both"/>
      </w:pPr>
      <w:r>
        <w:rPr>
          <w:sz w:val="20"/>
        </w:rPr>
        <w:t xml:space="preserve">25. Кандидаты на получение медицинского заключения 2 класса с выявленным нарушением атриовентрикулярной проводимости II и III степени подлежат кардиологическому обследованию.</w:t>
      </w:r>
    </w:p>
    <w:p>
      <w:pPr>
        <w:pStyle w:val="0"/>
        <w:spacing w:before="200" w:line-rule="auto"/>
        <w:ind w:firstLine="540"/>
        <w:jc w:val="both"/>
      </w:pPr>
      <w:r>
        <w:rPr>
          <w:sz w:val="20"/>
        </w:rPr>
        <w:t xml:space="preserve">26. Медицинское заключение 2 класса не выдается:</w:t>
      </w:r>
    </w:p>
    <w:p>
      <w:pPr>
        <w:pStyle w:val="0"/>
        <w:spacing w:before="200" w:line-rule="auto"/>
        <w:ind w:firstLine="540"/>
        <w:jc w:val="both"/>
      </w:pPr>
      <w:r>
        <w:rPr>
          <w:sz w:val="20"/>
        </w:rPr>
        <w:t xml:space="preserve">при атриовентрикулярной блокаде II степени типа Мобитц II с проведением 2:1 или типа Мобитц II в сочетании с нарушением проведения по ножкам пучка Гиса или паузами &gt;= 3 сек.;</w:t>
      </w:r>
    </w:p>
    <w:p>
      <w:pPr>
        <w:pStyle w:val="0"/>
        <w:spacing w:before="200" w:line-rule="auto"/>
        <w:ind w:firstLine="540"/>
        <w:jc w:val="both"/>
      </w:pPr>
      <w:r>
        <w:rPr>
          <w:sz w:val="20"/>
        </w:rPr>
        <w:t xml:space="preserve">при атриовентрикулярной блокаде III степени;</w:t>
      </w:r>
    </w:p>
    <w:p>
      <w:pPr>
        <w:pStyle w:val="0"/>
        <w:spacing w:before="200" w:line-rule="auto"/>
        <w:ind w:firstLine="540"/>
        <w:jc w:val="both"/>
      </w:pPr>
      <w:r>
        <w:rPr>
          <w:sz w:val="20"/>
        </w:rPr>
        <w:t xml:space="preserve">при установленном эндокардиальном кардиостимуляторе;</w:t>
      </w:r>
    </w:p>
    <w:p>
      <w:pPr>
        <w:pStyle w:val="0"/>
        <w:spacing w:before="200" w:line-rule="auto"/>
        <w:ind w:firstLine="540"/>
        <w:jc w:val="both"/>
      </w:pPr>
      <w:r>
        <w:rPr>
          <w:sz w:val="20"/>
        </w:rPr>
        <w:t xml:space="preserve">при жалобах и/или проявлениях клинических симптомов заболевания.</w:t>
      </w:r>
    </w:p>
    <w:p>
      <w:pPr>
        <w:pStyle w:val="0"/>
        <w:spacing w:before="200" w:line-rule="auto"/>
        <w:ind w:firstLine="540"/>
        <w:jc w:val="both"/>
      </w:pPr>
      <w:r>
        <w:rPr>
          <w:sz w:val="20"/>
        </w:rPr>
        <w:t xml:space="preserve">27. Наличие атриовентрикулярной блокады II степени типа Мобитц I и типа Мобитц II с паузами &lt; 2 сек. при отсутствии значимой структурной патологии сердца и без клинических проявлений не является основанием для отказа в выдаче медицинского заключения 2 класса.</w:t>
      </w:r>
    </w:p>
    <w:p>
      <w:pPr>
        <w:pStyle w:val="0"/>
        <w:spacing w:before="200" w:line-rule="auto"/>
        <w:ind w:firstLine="540"/>
        <w:jc w:val="both"/>
      </w:pPr>
      <w:r>
        <w:rPr>
          <w:sz w:val="20"/>
        </w:rPr>
        <w:t xml:space="preserve">28. В остальных случаях выдача медицинского заключения допускается,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w:t>
      </w:r>
    </w:p>
    <w:p>
      <w:pPr>
        <w:pStyle w:val="0"/>
        <w:jc w:val="both"/>
      </w:pPr>
      <w:r>
        <w:rPr>
          <w:sz w:val="20"/>
        </w:rPr>
      </w:r>
    </w:p>
    <w:p>
      <w:pPr>
        <w:pStyle w:val="2"/>
        <w:outlineLvl w:val="3"/>
        <w:jc w:val="center"/>
      </w:pPr>
      <w:r>
        <w:rPr>
          <w:sz w:val="20"/>
        </w:rPr>
        <w:t xml:space="preserve">Нарушение внутрижелудочковой проводимости (I44.4 - I44.7)</w:t>
      </w:r>
    </w:p>
    <w:p>
      <w:pPr>
        <w:pStyle w:val="0"/>
        <w:jc w:val="both"/>
      </w:pPr>
      <w:r>
        <w:rPr>
          <w:sz w:val="20"/>
        </w:rPr>
      </w:r>
    </w:p>
    <w:p>
      <w:pPr>
        <w:pStyle w:val="0"/>
        <w:ind w:firstLine="540"/>
        <w:jc w:val="both"/>
      </w:pPr>
      <w:r>
        <w:rPr>
          <w:sz w:val="20"/>
        </w:rPr>
        <w:t xml:space="preserve">29. Кандидаты на получение медицинского заключения 2 класса с выявленным нарушением внутрижелудочковой проводимости подлежат кардиологическому обследованию.</w:t>
      </w:r>
    </w:p>
    <w:p>
      <w:pPr>
        <w:pStyle w:val="0"/>
        <w:spacing w:before="200" w:line-rule="auto"/>
        <w:ind w:firstLine="540"/>
        <w:jc w:val="both"/>
      </w:pPr>
      <w:r>
        <w:rPr>
          <w:sz w:val="20"/>
        </w:rPr>
        <w:t xml:space="preserve">30. Выявленная неполная блокада правой ножки пучка Гиса, а также неполная блокада левой ножки пучка Гиса не являются основаниями для отказа в выдаче медицинского заключения 2 класса при отсутствии значимой структурной патологии сердца.</w:t>
      </w:r>
    </w:p>
    <w:p>
      <w:pPr>
        <w:pStyle w:val="0"/>
        <w:spacing w:before="200" w:line-rule="auto"/>
        <w:ind w:firstLine="540"/>
        <w:jc w:val="both"/>
      </w:pPr>
      <w:r>
        <w:rPr>
          <w:sz w:val="20"/>
        </w:rPr>
        <w:t xml:space="preserve">31. При выявлении у кандидатов на получение медицинского заключения 2 класса полной блокады правой ножки пучка Гиса медицинское заключение 2 класса выдается при отсутствии:</w:t>
      </w:r>
    </w:p>
    <w:p>
      <w:pPr>
        <w:pStyle w:val="0"/>
        <w:spacing w:before="200" w:line-rule="auto"/>
        <w:ind w:firstLine="540"/>
        <w:jc w:val="both"/>
      </w:pPr>
      <w:r>
        <w:rPr>
          <w:sz w:val="20"/>
        </w:rPr>
        <w:t xml:space="preserve">значимой структурной патологии сердца и врожденных пороков сердца;</w:t>
      </w:r>
    </w:p>
    <w:p>
      <w:pPr>
        <w:pStyle w:val="0"/>
        <w:spacing w:before="200" w:line-rule="auto"/>
        <w:ind w:firstLine="540"/>
        <w:jc w:val="both"/>
      </w:pPr>
      <w:r>
        <w:rPr>
          <w:sz w:val="20"/>
        </w:rPr>
        <w:t xml:space="preserve">отрицательной пробы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на суточном мониторировании ЭКГ нарушений ритма и проводимости, подразумевающих вынесение решения о негодности к обучению и работе;</w:t>
      </w:r>
    </w:p>
    <w:p>
      <w:pPr>
        <w:pStyle w:val="0"/>
        <w:spacing w:before="200" w:line-rule="auto"/>
        <w:ind w:firstLine="540"/>
        <w:jc w:val="both"/>
      </w:pPr>
      <w:r>
        <w:rPr>
          <w:sz w:val="20"/>
        </w:rPr>
        <w:t xml:space="preserve">жалоб и/или проявлений клинических симптомов заболевания.</w:t>
      </w:r>
    </w:p>
    <w:p>
      <w:pPr>
        <w:pStyle w:val="0"/>
        <w:spacing w:before="200" w:line-rule="auto"/>
        <w:ind w:firstLine="540"/>
        <w:jc w:val="both"/>
      </w:pPr>
      <w:r>
        <w:rPr>
          <w:sz w:val="20"/>
        </w:rPr>
        <w:t xml:space="preserve">32. При впервые выявленной полной блокаде левой ножки пучка Гиса медицинское заключение 2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33. Выдача медицинского заключения допускается,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 Необходимо соблюдение следующих условий:</w:t>
      </w:r>
    </w:p>
    <w:p>
      <w:pPr>
        <w:pStyle w:val="0"/>
        <w:spacing w:before="200" w:line-rule="auto"/>
        <w:ind w:firstLine="540"/>
        <w:jc w:val="both"/>
      </w:pPr>
      <w:r>
        <w:rPr>
          <w:sz w:val="20"/>
        </w:rPr>
        <w:t xml:space="preserve">отсутствует значимая структурная патология сердца;</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при суточном мониторировании ЭКГ отсутствуют нарушения ритма и проводимости, подразумевающие вынесение решения о негодности к обучению и работе;</w:t>
      </w:r>
    </w:p>
    <w:p>
      <w:pPr>
        <w:pStyle w:val="0"/>
        <w:spacing w:before="200" w:line-rule="auto"/>
        <w:ind w:firstLine="540"/>
        <w:jc w:val="both"/>
      </w:pPr>
      <w:r>
        <w:rPr>
          <w:sz w:val="20"/>
        </w:rPr>
        <w:t xml:space="preserve">при проведении перфузионной томографии миокарда с фармакологической нагрузкой (или эквивалентного исследования) не выявлено признаков обратимого дефекта перфузии. Небольшой фиксированный дефект допускается при условии нормальных значений фракции выброса левого желудочка (не менее 55% при эхокардиографии) или имеется отрицательный результат стресс-ЭХОКГ;</w:t>
      </w:r>
    </w:p>
    <w:p>
      <w:pPr>
        <w:pStyle w:val="0"/>
        <w:spacing w:before="200" w:line-rule="auto"/>
        <w:ind w:firstLine="540"/>
        <w:jc w:val="both"/>
      </w:pPr>
      <w:r>
        <w:rPr>
          <w:sz w:val="20"/>
        </w:rPr>
        <w:t xml:space="preserve">при мультиспиральной компьютерной томографии коронарных артерий или селективной коронарной ангиографии не выявлено стеноза &gt;= 50% любой крупной артерии (правой коронарной артерии, передней межжелудочковой, огибающей артерии, задней межжелудочковой артерии) или любого венозного/артериального шунта или стеноза &gt;= 30% в стволе левой коронарной артерии или в проксимальном отделе передней нисходящей артерии.</w:t>
      </w:r>
    </w:p>
    <w:p>
      <w:pPr>
        <w:pStyle w:val="0"/>
        <w:spacing w:before="200" w:line-rule="auto"/>
        <w:ind w:firstLine="540"/>
        <w:jc w:val="both"/>
      </w:pPr>
      <w:r>
        <w:rPr>
          <w:sz w:val="20"/>
        </w:rPr>
        <w:t xml:space="preserve">34. Выявление блокады передней ветви левой ножки пучка Гиса или блокады задней ветви левой ножки пучка Гиса не является основанием для отказа в выдаче медицинского заключения:</w:t>
      </w:r>
    </w:p>
    <w:p>
      <w:pPr>
        <w:pStyle w:val="0"/>
        <w:spacing w:before="200" w:line-rule="auto"/>
        <w:ind w:firstLine="540"/>
        <w:jc w:val="both"/>
      </w:pPr>
      <w:r>
        <w:rPr>
          <w:sz w:val="20"/>
        </w:rPr>
        <w:t xml:space="preserve">при отсутствии значимой структурной патологии сердца и врожденных пороков сердца;</w:t>
      </w:r>
    </w:p>
    <w:p>
      <w:pPr>
        <w:pStyle w:val="0"/>
        <w:spacing w:before="200" w:line-rule="auto"/>
        <w:ind w:firstLine="540"/>
        <w:jc w:val="both"/>
      </w:pPr>
      <w:r>
        <w:rPr>
          <w:sz w:val="20"/>
        </w:rPr>
        <w:t xml:space="preserve">при отрицательной пробе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при отсутствии на суточном мониторировании ЭКГ нарушений ритма и проводимости, подразумевающих вынесение решения о негодности к обучению и работе;</w:t>
      </w:r>
    </w:p>
    <w:p>
      <w:pPr>
        <w:pStyle w:val="0"/>
        <w:spacing w:before="200" w:line-rule="auto"/>
        <w:ind w:firstLine="540"/>
        <w:jc w:val="both"/>
      </w:pPr>
      <w:r>
        <w:rPr>
          <w:sz w:val="20"/>
        </w:rPr>
        <w:t xml:space="preserve">при жалобах и/или проявлениях клинических симптомов заболевания.</w:t>
      </w:r>
    </w:p>
    <w:p>
      <w:pPr>
        <w:pStyle w:val="0"/>
        <w:spacing w:before="200" w:line-rule="auto"/>
        <w:ind w:firstLine="540"/>
        <w:jc w:val="both"/>
      </w:pPr>
      <w:r>
        <w:rPr>
          <w:sz w:val="20"/>
        </w:rPr>
        <w:t xml:space="preserve">35. При выявлении блокады передней ветви левой ножки пучка Гиса или блокады задней ветви левой ножки пучка Гиса необходимо проведение кардиологического обследования и в случае необходимости - ежегодного кардиологического наблюдения.</w:t>
      </w:r>
    </w:p>
    <w:p>
      <w:pPr>
        <w:pStyle w:val="0"/>
        <w:jc w:val="both"/>
      </w:pPr>
      <w:r>
        <w:rPr>
          <w:sz w:val="20"/>
        </w:rPr>
      </w:r>
    </w:p>
    <w:p>
      <w:pPr>
        <w:pStyle w:val="2"/>
        <w:outlineLvl w:val="3"/>
        <w:jc w:val="center"/>
      </w:pPr>
      <w:r>
        <w:rPr>
          <w:sz w:val="20"/>
        </w:rPr>
        <w:t xml:space="preserve">Ионные каналопатии (феномен/синдром Бругада,</w:t>
      </w:r>
    </w:p>
    <w:p>
      <w:pPr>
        <w:pStyle w:val="2"/>
        <w:jc w:val="center"/>
      </w:pPr>
      <w:r>
        <w:rPr>
          <w:sz w:val="20"/>
        </w:rPr>
        <w:t xml:space="preserve">феномен/синдром удлиненного интервала QT (LQTS),</w:t>
      </w:r>
    </w:p>
    <w:p>
      <w:pPr>
        <w:pStyle w:val="2"/>
        <w:jc w:val="center"/>
      </w:pPr>
      <w:r>
        <w:rPr>
          <w:sz w:val="20"/>
        </w:rPr>
        <w:t xml:space="preserve">феномен/синдром укороченного интервала QT (SQT),</w:t>
      </w:r>
    </w:p>
    <w:p>
      <w:pPr>
        <w:pStyle w:val="2"/>
        <w:jc w:val="center"/>
      </w:pPr>
      <w:r>
        <w:rPr>
          <w:sz w:val="20"/>
        </w:rPr>
        <w:t xml:space="preserve">феномен/синдром ранней реполяризации</w:t>
      </w:r>
    </w:p>
    <w:p>
      <w:pPr>
        <w:pStyle w:val="2"/>
        <w:jc w:val="center"/>
      </w:pPr>
      <w:r>
        <w:rPr>
          <w:sz w:val="20"/>
        </w:rPr>
        <w:t xml:space="preserve">желудочков) (I49.8)</w:t>
      </w:r>
    </w:p>
    <w:p>
      <w:pPr>
        <w:pStyle w:val="0"/>
        <w:jc w:val="both"/>
      </w:pPr>
      <w:r>
        <w:rPr>
          <w:sz w:val="20"/>
        </w:rPr>
      </w:r>
    </w:p>
    <w:p>
      <w:pPr>
        <w:pStyle w:val="0"/>
        <w:ind w:firstLine="540"/>
        <w:jc w:val="both"/>
      </w:pPr>
      <w:r>
        <w:rPr>
          <w:sz w:val="20"/>
        </w:rPr>
        <w:t xml:space="preserve">36. Кандидаты на получение медицинского заключения 2 класса с диагносцированными ионными каналопатиями подлежат отстранению от работы и кардиологическому обследованию.</w:t>
      </w:r>
    </w:p>
    <w:p>
      <w:pPr>
        <w:pStyle w:val="0"/>
        <w:spacing w:before="200" w:line-rule="auto"/>
        <w:ind w:firstLine="540"/>
        <w:jc w:val="both"/>
      </w:pPr>
      <w:r>
        <w:rPr>
          <w:sz w:val="20"/>
        </w:rPr>
        <w:t xml:space="preserve">37. Феномен/синдром ранней реполяризации желудочков является поводом для кардиологического обследования только при наличии j-волны на ЭКГ в отведениях II, III, aVF.</w:t>
      </w:r>
    </w:p>
    <w:p>
      <w:pPr>
        <w:pStyle w:val="0"/>
        <w:spacing w:before="200" w:line-rule="auto"/>
        <w:ind w:firstLine="540"/>
        <w:jc w:val="both"/>
      </w:pPr>
      <w:r>
        <w:rPr>
          <w:sz w:val="20"/>
        </w:rPr>
        <w:t xml:space="preserve">38. Медицинское заключение 2 класса не выдается:</w:t>
      </w:r>
    </w:p>
    <w:p>
      <w:pPr>
        <w:pStyle w:val="0"/>
        <w:spacing w:before="200" w:line-rule="auto"/>
        <w:ind w:firstLine="540"/>
        <w:jc w:val="both"/>
      </w:pPr>
      <w:r>
        <w:rPr>
          <w:sz w:val="20"/>
        </w:rPr>
        <w:t xml:space="preserve">при первичном освидетельствовании;</w:t>
      </w:r>
    </w:p>
    <w:p>
      <w:pPr>
        <w:pStyle w:val="0"/>
        <w:spacing w:before="200" w:line-rule="auto"/>
        <w:ind w:firstLine="540"/>
        <w:jc w:val="both"/>
      </w:pPr>
      <w:r>
        <w:rPr>
          <w:sz w:val="20"/>
        </w:rPr>
        <w:t xml:space="preserve">при наличии в семейном анамнезе случаев внезапной сердечной смерти;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на ЭКГ удлинения QTc &gt;= 500 мс, укорочения QTc &lt;= 330 мс или феномена Бругада 1 типа;</w:t>
      </w:r>
    </w:p>
    <w:p>
      <w:pPr>
        <w:pStyle w:val="0"/>
        <w:spacing w:before="200" w:line-rule="auto"/>
        <w:ind w:firstLine="540"/>
        <w:jc w:val="both"/>
      </w:pPr>
      <w:r>
        <w:rPr>
          <w:sz w:val="20"/>
        </w:rPr>
        <w:t xml:space="preserve">при наличии жалоб и/или проявлении клинических симптомов заболевания, особенно синкопальных эпизодов.</w:t>
      </w:r>
    </w:p>
    <w:p>
      <w:pPr>
        <w:pStyle w:val="0"/>
        <w:spacing w:before="200" w:line-rule="auto"/>
        <w:ind w:firstLine="540"/>
        <w:jc w:val="both"/>
      </w:pPr>
      <w:r>
        <w:rPr>
          <w:sz w:val="20"/>
        </w:rPr>
        <w:t xml:space="preserve">39. Выдача медицинского заключения допускается только обладателям свидетельств при выявлении синдрома удлиненных ионных каналопатий в том случае,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Необходимо соблюдение следующих условий:</w:t>
      </w:r>
    </w:p>
    <w:p>
      <w:pPr>
        <w:pStyle w:val="0"/>
        <w:spacing w:before="200" w:line-rule="auto"/>
        <w:ind w:firstLine="540"/>
        <w:jc w:val="both"/>
      </w:pPr>
      <w:r>
        <w:rPr>
          <w:sz w:val="20"/>
        </w:rPr>
        <w:t xml:space="preserve">на ЭКГ отсутствуют удлинение QTc &gt;= 500 мс, укорочение QTc &lt;= 330 мс или феномен Бругада 1 типа, или особенности после фармакологической провокации;</w:t>
      </w:r>
    </w:p>
    <w:p>
      <w:pPr>
        <w:pStyle w:val="0"/>
        <w:spacing w:before="200" w:line-rule="auto"/>
        <w:ind w:firstLine="540"/>
        <w:jc w:val="both"/>
      </w:pPr>
      <w:r>
        <w:rPr>
          <w:sz w:val="20"/>
        </w:rPr>
        <w:t xml:space="preserve">отсутствуют желудочковые аритмии 3 - 5 градаций по B. Lown и M. Wolf в модификации M. Ryan и эпизоды желудочковой тахикардии при суточном мониторировании ЭКГ;</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отсутствуют жалобы и/или проявления клинических симптомов заболевания.</w:t>
      </w:r>
    </w:p>
    <w:p>
      <w:pPr>
        <w:pStyle w:val="0"/>
        <w:jc w:val="both"/>
      </w:pPr>
      <w:r>
        <w:rPr>
          <w:sz w:val="20"/>
        </w:rPr>
      </w:r>
    </w:p>
    <w:p>
      <w:pPr>
        <w:pStyle w:val="2"/>
        <w:outlineLvl w:val="3"/>
        <w:jc w:val="center"/>
      </w:pPr>
      <w:r>
        <w:rPr>
          <w:sz w:val="20"/>
        </w:rPr>
        <w:t xml:space="preserve">Патология клапанов сердца</w:t>
      </w:r>
    </w:p>
    <w:p>
      <w:pPr>
        <w:pStyle w:val="2"/>
        <w:jc w:val="center"/>
      </w:pPr>
      <w:r>
        <w:rPr>
          <w:sz w:val="20"/>
        </w:rPr>
        <w:t xml:space="preserve">Двустворчатый аортальный клапан (Q23.1)</w:t>
      </w:r>
    </w:p>
    <w:p>
      <w:pPr>
        <w:pStyle w:val="0"/>
        <w:jc w:val="both"/>
      </w:pPr>
      <w:r>
        <w:rPr>
          <w:sz w:val="20"/>
        </w:rPr>
      </w:r>
    </w:p>
    <w:p>
      <w:pPr>
        <w:pStyle w:val="0"/>
        <w:ind w:firstLine="540"/>
        <w:jc w:val="both"/>
      </w:pPr>
      <w:r>
        <w:rPr>
          <w:sz w:val="20"/>
        </w:rPr>
        <w:t xml:space="preserve">40. Кандидаты на получение медицинского заключения 2 класса с двустворчатым аортальным клапаном могут быть признаны годными к обучению и работе без ограничений при отсутствии значимой структурной патологии сердца, жалоб и клинических проявлений заболеваний сердечно-сосудистой системы, а также при регулярном (не реже одного раза в 2 года) кардиологическом обследовании.</w:t>
      </w:r>
    </w:p>
    <w:p>
      <w:pPr>
        <w:pStyle w:val="0"/>
        <w:jc w:val="both"/>
      </w:pPr>
      <w:r>
        <w:rPr>
          <w:sz w:val="20"/>
        </w:rPr>
      </w:r>
    </w:p>
    <w:p>
      <w:pPr>
        <w:pStyle w:val="2"/>
        <w:outlineLvl w:val="3"/>
        <w:jc w:val="center"/>
      </w:pPr>
      <w:r>
        <w:rPr>
          <w:sz w:val="20"/>
        </w:rPr>
        <w:t xml:space="preserve">Аортальный стеноз (I35.0, I06.0)</w:t>
      </w:r>
    </w:p>
    <w:p>
      <w:pPr>
        <w:pStyle w:val="0"/>
        <w:jc w:val="both"/>
      </w:pPr>
      <w:r>
        <w:rPr>
          <w:sz w:val="20"/>
        </w:rPr>
      </w:r>
    </w:p>
    <w:p>
      <w:pPr>
        <w:pStyle w:val="0"/>
        <w:ind w:firstLine="540"/>
        <w:jc w:val="both"/>
      </w:pPr>
      <w:r>
        <w:rPr>
          <w:sz w:val="20"/>
        </w:rPr>
        <w:t xml:space="preserve">41. Кандидаты на получение медицинского заключения 2 класса с выявленным аортальным стенозом подлежат отстранению от кардиологического обследования.</w:t>
      </w:r>
    </w:p>
    <w:p>
      <w:pPr>
        <w:pStyle w:val="0"/>
        <w:spacing w:before="200" w:line-rule="auto"/>
        <w:ind w:firstLine="540"/>
        <w:jc w:val="both"/>
      </w:pPr>
      <w:r>
        <w:rPr>
          <w:sz w:val="20"/>
        </w:rPr>
        <w:t xml:space="preserve">42. Медицинское заключение 2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пиковой скорости аортального потока по Доплеру &gt; 3 м/с;</w:t>
      </w:r>
    </w:p>
    <w:p>
      <w:pPr>
        <w:pStyle w:val="0"/>
        <w:spacing w:before="200" w:line-rule="auto"/>
        <w:ind w:firstLine="540"/>
        <w:jc w:val="both"/>
      </w:pPr>
      <w:r>
        <w:rPr>
          <w:sz w:val="20"/>
        </w:rPr>
        <w:t xml:space="preserve">при наличии в анамнезе ишемического инсульта и/или транзиторной ишемической атаки;</w:t>
      </w:r>
    </w:p>
    <w:p>
      <w:pPr>
        <w:pStyle w:val="0"/>
        <w:spacing w:before="200" w:line-rule="auto"/>
        <w:ind w:firstLine="540"/>
        <w:jc w:val="both"/>
      </w:pPr>
      <w:r>
        <w:rPr>
          <w:sz w:val="20"/>
        </w:rPr>
        <w:t xml:space="preserve">при увеличении толщины стенки левого желудочка более 1,1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43. Выявление у обладателей свидетельств аортального стеноза с пиковой скоростью аортального потока по Доплеру &lt;= 2,5 м/с не является основанием для их дисквалификации и введения ограничений при условии регулярного (не реже одного раза в год) проведения кардиологического обследования.</w:t>
      </w:r>
    </w:p>
    <w:p>
      <w:pPr>
        <w:pStyle w:val="0"/>
        <w:spacing w:before="200" w:line-rule="auto"/>
        <w:ind w:firstLine="540"/>
        <w:jc w:val="both"/>
      </w:pPr>
      <w:r>
        <w:rPr>
          <w:sz w:val="20"/>
        </w:rPr>
        <w:t xml:space="preserve">44. При выявлении аортального стеноза с пиковой скоростью аортального потока в аорте по Доплеру &gt;= 2,6 и &lt;= 3,0 м/с, а также при наличии признаков кальцификации клапана выдача медицинского заключения допускается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3"/>
        <w:jc w:val="center"/>
      </w:pPr>
      <w:r>
        <w:rPr>
          <w:sz w:val="20"/>
        </w:rPr>
        <w:t xml:space="preserve">Аортальная регургитация (I35.1, I06.1)</w:t>
      </w:r>
    </w:p>
    <w:p>
      <w:pPr>
        <w:pStyle w:val="0"/>
        <w:jc w:val="both"/>
      </w:pPr>
      <w:r>
        <w:rPr>
          <w:sz w:val="20"/>
        </w:rPr>
      </w:r>
    </w:p>
    <w:p>
      <w:pPr>
        <w:pStyle w:val="0"/>
        <w:ind w:firstLine="540"/>
        <w:jc w:val="both"/>
      </w:pPr>
      <w:r>
        <w:rPr>
          <w:sz w:val="20"/>
        </w:rPr>
        <w:t xml:space="preserve">45. Кандидаты на получение медицинского заключения 2 класса с выявленной аортальной регургитацией подлежат отстранению от работы и кардиологическому обследованию.</w:t>
      </w:r>
    </w:p>
    <w:p>
      <w:pPr>
        <w:pStyle w:val="0"/>
        <w:spacing w:before="200" w:line-rule="auto"/>
        <w:ind w:firstLine="540"/>
        <w:jc w:val="both"/>
      </w:pPr>
      <w:r>
        <w:rPr>
          <w:sz w:val="20"/>
        </w:rPr>
        <w:t xml:space="preserve">46. Медицинское заключение 2 класса не выдается:</w:t>
      </w:r>
    </w:p>
    <w:p>
      <w:pPr>
        <w:pStyle w:val="0"/>
        <w:spacing w:before="200" w:line-rule="auto"/>
        <w:ind w:firstLine="540"/>
        <w:jc w:val="both"/>
      </w:pPr>
      <w:r>
        <w:rPr>
          <w:sz w:val="20"/>
        </w:rPr>
        <w:t xml:space="preserve">при диаметре корня аорты &gt; 5,0 см;</w:t>
      </w:r>
    </w:p>
    <w:p>
      <w:pPr>
        <w:pStyle w:val="0"/>
        <w:spacing w:before="200" w:line-rule="auto"/>
        <w:ind w:firstLine="540"/>
        <w:jc w:val="both"/>
      </w:pPr>
      <w:r>
        <w:rPr>
          <w:sz w:val="20"/>
        </w:rPr>
        <w:t xml:space="preserve">при конечно-диастолическом размере левого желудочка (КДР ЛЖ) &gt; 6,5 см;</w:t>
      </w:r>
    </w:p>
    <w:p>
      <w:pPr>
        <w:pStyle w:val="0"/>
        <w:spacing w:before="200" w:line-rule="auto"/>
        <w:ind w:firstLine="540"/>
        <w:jc w:val="both"/>
      </w:pPr>
      <w:r>
        <w:rPr>
          <w:sz w:val="20"/>
        </w:rPr>
        <w:t xml:space="preserve">при конечно-систолическом размере левого желудочка (КСР ЛЖ) &gt; 4,4 см;</w:t>
      </w:r>
    </w:p>
    <w:p>
      <w:pPr>
        <w:pStyle w:val="0"/>
        <w:spacing w:before="200" w:line-rule="auto"/>
        <w:ind w:firstLine="540"/>
        <w:jc w:val="both"/>
      </w:pPr>
      <w:r>
        <w:rPr>
          <w:sz w:val="20"/>
        </w:rPr>
        <w:t xml:space="preserve">при увеличении толщины межжелудочковой перегородки &gt;= 1,4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47. Выявление у обладателей свидетельств аортальной регургитации с КДР ЛЖ &lt;= 6,0 см и КСР ЛЖ &lt;= 4,1 см не является основанием для вынесения заключения о негодности к обучению и работе и введения ограничений при условии регулярного (не реже одного раза в год) проведения кардиологического обследования.</w:t>
      </w:r>
    </w:p>
    <w:p>
      <w:pPr>
        <w:pStyle w:val="0"/>
        <w:spacing w:before="200" w:line-rule="auto"/>
        <w:ind w:firstLine="540"/>
        <w:jc w:val="both"/>
      </w:pPr>
      <w:r>
        <w:rPr>
          <w:sz w:val="20"/>
        </w:rPr>
        <w:t xml:space="preserve">48. При аортальной регургитации с КДР ЛЖ &gt;= 6,2 см и &lt;= 6,5 см и КСР ЛЖ &gt;= 4,2 см и &lt;= 4,4 см выдача медицинского заключения допускается только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3"/>
        <w:jc w:val="center"/>
      </w:pPr>
      <w:r>
        <w:rPr>
          <w:sz w:val="20"/>
        </w:rPr>
        <w:t xml:space="preserve">Патология митрального клапана (I34, I05)</w:t>
      </w:r>
    </w:p>
    <w:p>
      <w:pPr>
        <w:pStyle w:val="0"/>
        <w:jc w:val="both"/>
      </w:pPr>
      <w:r>
        <w:rPr>
          <w:sz w:val="20"/>
        </w:rPr>
      </w:r>
    </w:p>
    <w:p>
      <w:pPr>
        <w:pStyle w:val="0"/>
        <w:ind w:firstLine="540"/>
        <w:jc w:val="both"/>
      </w:pPr>
      <w:r>
        <w:rPr>
          <w:sz w:val="20"/>
        </w:rPr>
        <w:t xml:space="preserve">49. Кандидаты на получение медицинского заключения 2 класса с выявленной патологией и аномалиями митрального клапана подлежат отстранению от летной работы и кардиологическому обследованию.</w:t>
      </w:r>
    </w:p>
    <w:p>
      <w:pPr>
        <w:pStyle w:val="0"/>
        <w:spacing w:before="200" w:line-rule="auto"/>
        <w:ind w:firstLine="540"/>
        <w:jc w:val="both"/>
      </w:pPr>
      <w:r>
        <w:rPr>
          <w:sz w:val="20"/>
        </w:rPr>
        <w:t xml:space="preserve">50. Наличие пролапса митрального клапана &lt; 6 мм и толщины створок митрального клапана &lt; 5 мм при отсутствии жалоб и клинических проявлений не является основанием для отказа в выдаче медицинского заключения.</w:t>
      </w:r>
    </w:p>
    <w:p>
      <w:pPr>
        <w:pStyle w:val="0"/>
        <w:spacing w:before="200" w:line-rule="auto"/>
        <w:ind w:firstLine="540"/>
        <w:jc w:val="both"/>
      </w:pPr>
      <w:r>
        <w:rPr>
          <w:sz w:val="20"/>
        </w:rPr>
        <w:t xml:space="preserve">51. Медицинское заключение 2 класса не выдается:</w:t>
      </w:r>
    </w:p>
    <w:p>
      <w:pPr>
        <w:pStyle w:val="0"/>
        <w:spacing w:before="200" w:line-rule="auto"/>
        <w:ind w:firstLine="540"/>
        <w:jc w:val="both"/>
      </w:pPr>
      <w:r>
        <w:rPr>
          <w:sz w:val="20"/>
        </w:rPr>
        <w:t xml:space="preserve">при площади митрального отверстия &lt;= 1,5 см</w:t>
      </w:r>
      <w:r>
        <w:rPr>
          <w:sz w:val="20"/>
          <w:vertAlign w:val="superscript"/>
        </w:rPr>
        <w:t xml:space="preserve">2</w:t>
      </w:r>
      <w:r>
        <w:rPr>
          <w:sz w:val="20"/>
        </w:rPr>
        <w:t xml:space="preserve"> при митральном стенозе;</w:t>
      </w:r>
    </w:p>
    <w:p>
      <w:pPr>
        <w:pStyle w:val="0"/>
        <w:spacing w:before="200" w:line-rule="auto"/>
        <w:ind w:firstLine="540"/>
        <w:jc w:val="both"/>
      </w:pPr>
      <w:r>
        <w:rPr>
          <w:sz w:val="20"/>
        </w:rPr>
        <w:t xml:space="preserve">при площади струи регургитации &gt;= 4 см</w:t>
      </w:r>
      <w:r>
        <w:rPr>
          <w:sz w:val="20"/>
          <w:vertAlign w:val="superscript"/>
        </w:rPr>
        <w:t xml:space="preserve">2</w:t>
      </w:r>
      <w:r>
        <w:rPr>
          <w:sz w:val="20"/>
        </w:rPr>
        <w:t xml:space="preserve"> или &gt;= 20% от площади левого предсердия и/или ширине vena constanta &gt;= 0,3 см при митральной регургитации;</w:t>
      </w:r>
    </w:p>
    <w:p>
      <w:pPr>
        <w:pStyle w:val="0"/>
        <w:spacing w:before="200" w:line-rule="auto"/>
        <w:ind w:firstLine="540"/>
        <w:jc w:val="both"/>
      </w:pPr>
      <w:r>
        <w:rPr>
          <w:sz w:val="20"/>
        </w:rPr>
        <w:t xml:space="preserve">при ревматическом митральном стенозе/регургитации;</w:t>
      </w:r>
    </w:p>
    <w:p>
      <w:pPr>
        <w:pStyle w:val="0"/>
        <w:spacing w:before="200" w:line-rule="auto"/>
        <w:ind w:firstLine="540"/>
        <w:jc w:val="both"/>
      </w:pPr>
      <w:r>
        <w:rPr>
          <w:sz w:val="20"/>
        </w:rPr>
        <w:t xml:space="preserve">при неревматической неишемической регургитации митрального клапана, вызванной разрывом хорды или ишемическим повреждением папиллярных мышц;</w:t>
      </w:r>
    </w:p>
    <w:p>
      <w:pPr>
        <w:pStyle w:val="0"/>
        <w:spacing w:before="200" w:line-rule="auto"/>
        <w:ind w:firstLine="540"/>
        <w:jc w:val="both"/>
      </w:pPr>
      <w:r>
        <w:rPr>
          <w:sz w:val="20"/>
        </w:rPr>
        <w:t xml:space="preserve">при наличии фибрилляции предсердий или трепетания предсердий на фоне митрального стеноза/регургитации;</w:t>
      </w:r>
    </w:p>
    <w:p>
      <w:pPr>
        <w:pStyle w:val="0"/>
        <w:spacing w:before="200" w:line-rule="auto"/>
        <w:ind w:firstLine="540"/>
        <w:jc w:val="both"/>
      </w:pPr>
      <w:r>
        <w:rPr>
          <w:sz w:val="20"/>
        </w:rPr>
        <w:t xml:space="preserve">при увеличении КДР ЛЖ &gt;= 6,1 см;</w:t>
      </w:r>
    </w:p>
    <w:p>
      <w:pPr>
        <w:pStyle w:val="0"/>
        <w:spacing w:before="200" w:line-rule="auto"/>
        <w:ind w:firstLine="540"/>
        <w:jc w:val="both"/>
      </w:pPr>
      <w:r>
        <w:rPr>
          <w:sz w:val="20"/>
        </w:rPr>
        <w:t xml:space="preserve">при увеличении КСР ЛЖ &gt;= 4,2 см;</w:t>
      </w:r>
    </w:p>
    <w:p>
      <w:pPr>
        <w:pStyle w:val="0"/>
        <w:spacing w:before="200" w:line-rule="auto"/>
        <w:ind w:firstLine="540"/>
        <w:jc w:val="both"/>
      </w:pPr>
      <w:r>
        <w:rPr>
          <w:sz w:val="20"/>
        </w:rPr>
        <w:t xml:space="preserve">при увеличении толщины межжелудочковой перегородки &gt;= 1,4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52. В остальных случаях допускается выдача медицинского заключения только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3"/>
        <w:jc w:val="center"/>
      </w:pPr>
      <w:r>
        <w:rPr>
          <w:sz w:val="20"/>
        </w:rPr>
        <w:t xml:space="preserve">Состояния после хирургического лечения патологии</w:t>
      </w:r>
    </w:p>
    <w:p>
      <w:pPr>
        <w:pStyle w:val="2"/>
        <w:jc w:val="center"/>
      </w:pPr>
      <w:r>
        <w:rPr>
          <w:sz w:val="20"/>
        </w:rPr>
        <w:t xml:space="preserve">клапанов сердца</w:t>
      </w:r>
    </w:p>
    <w:p>
      <w:pPr>
        <w:pStyle w:val="0"/>
        <w:jc w:val="both"/>
      </w:pPr>
      <w:r>
        <w:rPr>
          <w:sz w:val="20"/>
        </w:rPr>
      </w:r>
    </w:p>
    <w:p>
      <w:pPr>
        <w:pStyle w:val="0"/>
        <w:ind w:firstLine="540"/>
        <w:jc w:val="both"/>
      </w:pPr>
      <w:r>
        <w:rPr>
          <w:sz w:val="20"/>
        </w:rPr>
        <w:t xml:space="preserve">53. Освидетельствование кандидатов на получение медицинского заключения 2 класса, перенесших замену аортального клапана биологическим протезом или хирургическое восстановление митрального клапана, проводится не ранее чем через 6 месяцев после оперативного лечения.</w:t>
      </w:r>
    </w:p>
    <w:p>
      <w:pPr>
        <w:pStyle w:val="0"/>
        <w:spacing w:before="200" w:line-rule="auto"/>
        <w:ind w:firstLine="540"/>
        <w:jc w:val="both"/>
      </w:pPr>
      <w:r>
        <w:rPr>
          <w:sz w:val="20"/>
        </w:rPr>
        <w:t xml:space="preserve">54. Медицинское заключение 2 класса не выдается:</w:t>
      </w:r>
    </w:p>
    <w:p>
      <w:pPr>
        <w:pStyle w:val="0"/>
        <w:spacing w:before="200" w:line-rule="auto"/>
        <w:ind w:firstLine="540"/>
        <w:jc w:val="both"/>
      </w:pPr>
      <w:r>
        <w:rPr>
          <w:sz w:val="20"/>
        </w:rPr>
        <w:t xml:space="preserve">при аортальной вальвулотомии;</w:t>
      </w:r>
    </w:p>
    <w:p>
      <w:pPr>
        <w:pStyle w:val="0"/>
        <w:spacing w:before="200" w:line-rule="auto"/>
        <w:ind w:firstLine="540"/>
        <w:jc w:val="both"/>
      </w:pPr>
      <w:r>
        <w:rPr>
          <w:sz w:val="20"/>
        </w:rPr>
        <w:t xml:space="preserve">при при многоклапанном протезировании;</w:t>
      </w:r>
    </w:p>
    <w:p>
      <w:pPr>
        <w:pStyle w:val="0"/>
        <w:spacing w:before="200" w:line-rule="auto"/>
        <w:ind w:firstLine="540"/>
        <w:jc w:val="both"/>
      </w:pPr>
      <w:r>
        <w:rPr>
          <w:sz w:val="20"/>
        </w:rPr>
        <w:t xml:space="preserve">при наличии в анамнезе тромбоэмболических событий;</w:t>
      </w:r>
    </w:p>
    <w:p>
      <w:pPr>
        <w:pStyle w:val="0"/>
        <w:spacing w:before="200" w:line-rule="auto"/>
        <w:ind w:firstLine="540"/>
        <w:jc w:val="both"/>
      </w:pPr>
      <w:r>
        <w:rPr>
          <w:sz w:val="20"/>
        </w:rPr>
        <w:t xml:space="preserve">при отсутствии постоянного синусового ритма;</w:t>
      </w:r>
    </w:p>
    <w:p>
      <w:pPr>
        <w:pStyle w:val="0"/>
        <w:spacing w:before="200" w:line-rule="auto"/>
        <w:ind w:firstLine="540"/>
        <w:jc w:val="both"/>
      </w:pPr>
      <w:r>
        <w:rPr>
          <w:sz w:val="20"/>
        </w:rPr>
        <w:t xml:space="preserve">при наличии показаний к приему антикоагулянтной терапии;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увеличении диаметра корня аорты более 5,0 см;</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55. Выдача медицинского заключения допускается только в случае, если они минимизировали все корригируемые факторы сердечно-сосудистого риска до приемлемого уровня и регулярно (минимум один раз в год) осматриваются кардиологом, а также в случае необходимости получают медикаментозную терапию.</w:t>
      </w:r>
    </w:p>
    <w:p>
      <w:pPr>
        <w:pStyle w:val="0"/>
        <w:jc w:val="both"/>
      </w:pPr>
      <w:r>
        <w:rPr>
          <w:sz w:val="20"/>
        </w:rPr>
      </w:r>
    </w:p>
    <w:p>
      <w:pPr>
        <w:pStyle w:val="2"/>
        <w:outlineLvl w:val="3"/>
        <w:jc w:val="center"/>
      </w:pPr>
      <w:r>
        <w:rPr>
          <w:sz w:val="20"/>
        </w:rPr>
        <w:t xml:space="preserve">Перикардит, миокардит и эндокардит (I30 - I33, I40)</w:t>
      </w:r>
    </w:p>
    <w:p>
      <w:pPr>
        <w:pStyle w:val="0"/>
        <w:jc w:val="both"/>
      </w:pPr>
      <w:r>
        <w:rPr>
          <w:sz w:val="20"/>
        </w:rPr>
      </w:r>
    </w:p>
    <w:p>
      <w:pPr>
        <w:pStyle w:val="0"/>
        <w:ind w:firstLine="540"/>
        <w:jc w:val="both"/>
      </w:pPr>
      <w:r>
        <w:rPr>
          <w:sz w:val="20"/>
        </w:rPr>
        <w:t xml:space="preserve">56. Первичное освидетельствование возможно не ранее чем через 6 месяцев после полного выздоровления и кардиологического обследования при отсутствии нарушения функции сердца вследствие перенесенного заболевания, жалоб и клинических проявлений.</w:t>
      </w:r>
    </w:p>
    <w:p>
      <w:pPr>
        <w:pStyle w:val="0"/>
        <w:spacing w:before="200" w:line-rule="auto"/>
        <w:ind w:firstLine="540"/>
        <w:jc w:val="both"/>
      </w:pPr>
      <w:r>
        <w:rPr>
          <w:sz w:val="20"/>
        </w:rPr>
        <w:t xml:space="preserve">57. Медицинское заключение 2 класса не возобновляется:</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58. В течение первых 2 лет после перенесенного заболевания обладатели свидетельств авиационного персонала гражданской авиации допускаются к работе при условии регулярного (не менее одного раза в год) проведения кардиологического осмотра.</w:t>
      </w:r>
    </w:p>
    <w:p>
      <w:pPr>
        <w:pStyle w:val="0"/>
        <w:spacing w:before="200" w:line-rule="auto"/>
        <w:ind w:firstLine="540"/>
        <w:jc w:val="both"/>
      </w:pPr>
      <w:r>
        <w:rPr>
          <w:sz w:val="20"/>
        </w:rPr>
        <w:t xml:space="preserve">59. По истечении 2 лет после перенесенного заболевания при отсутствии значимых структурных изменений сердца, жалоб и клинических проявлений возможен допуск к летной работе без ограничений.</w:t>
      </w:r>
    </w:p>
    <w:p>
      <w:pPr>
        <w:pStyle w:val="0"/>
        <w:jc w:val="both"/>
      </w:pPr>
      <w:r>
        <w:rPr>
          <w:sz w:val="20"/>
        </w:rPr>
      </w:r>
    </w:p>
    <w:p>
      <w:pPr>
        <w:pStyle w:val="2"/>
        <w:outlineLvl w:val="3"/>
        <w:jc w:val="center"/>
      </w:pPr>
      <w:r>
        <w:rPr>
          <w:sz w:val="20"/>
        </w:rPr>
        <w:t xml:space="preserve">Кардиомиопатии (I42)</w:t>
      </w:r>
    </w:p>
    <w:p>
      <w:pPr>
        <w:pStyle w:val="2"/>
        <w:jc w:val="center"/>
      </w:pPr>
      <w:r>
        <w:rPr>
          <w:sz w:val="20"/>
        </w:rPr>
        <w:t xml:space="preserve">Гипертрофическая кардиомиопатия (I42.1 - I42.2)</w:t>
      </w:r>
    </w:p>
    <w:p>
      <w:pPr>
        <w:pStyle w:val="0"/>
        <w:jc w:val="both"/>
      </w:pPr>
      <w:r>
        <w:rPr>
          <w:sz w:val="20"/>
        </w:rPr>
      </w:r>
    </w:p>
    <w:p>
      <w:pPr>
        <w:pStyle w:val="0"/>
        <w:ind w:firstLine="540"/>
        <w:jc w:val="both"/>
      </w:pPr>
      <w:r>
        <w:rPr>
          <w:sz w:val="20"/>
        </w:rPr>
        <w:t xml:space="preserve">60. Кандидаты на получение медицинского заключения 2 класса с выявленной гипертрофической кардиомиопатией подлежат отстранению от работы и кардиологическому обследованию.</w:t>
      </w:r>
    </w:p>
    <w:p>
      <w:pPr>
        <w:pStyle w:val="0"/>
        <w:spacing w:before="200" w:line-rule="auto"/>
        <w:ind w:firstLine="540"/>
        <w:jc w:val="both"/>
      </w:pPr>
      <w:r>
        <w:rPr>
          <w:sz w:val="20"/>
        </w:rPr>
        <w:t xml:space="preserve">61. Медицинское заключение 2 класса не выдается:</w:t>
      </w:r>
    </w:p>
    <w:p>
      <w:pPr>
        <w:pStyle w:val="0"/>
        <w:spacing w:before="200" w:line-rule="auto"/>
        <w:ind w:firstLine="540"/>
        <w:jc w:val="both"/>
      </w:pPr>
      <w:r>
        <w:rPr>
          <w:sz w:val="20"/>
        </w:rPr>
        <w:t xml:space="preserve">при наличии в семейном анамнезе случаев внезапной сердечной смерти;</w:t>
      </w:r>
    </w:p>
    <w:p>
      <w:pPr>
        <w:pStyle w:val="0"/>
        <w:spacing w:before="200" w:line-rule="auto"/>
        <w:ind w:firstLine="540"/>
        <w:jc w:val="both"/>
      </w:pPr>
      <w:r>
        <w:rPr>
          <w:sz w:val="20"/>
        </w:rPr>
        <w:t xml:space="preserve">при превышении толщины межжелудочковой перегородки &gt;= 2,5 см;</w:t>
      </w:r>
    </w:p>
    <w:p>
      <w:pPr>
        <w:pStyle w:val="0"/>
        <w:spacing w:before="200" w:line-rule="auto"/>
        <w:ind w:firstLine="540"/>
        <w:jc w:val="both"/>
      </w:pPr>
      <w:r>
        <w:rPr>
          <w:sz w:val="20"/>
        </w:rPr>
        <w:t xml:space="preserve">при градиенте давления в выносящем тракте левого желудочка в покое &gt;= 50 мм рт. ст.;</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62. Выдача медицинского заключения допускается только в случае,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Рестриктивная кардиомиопатия (I42.5)</w:t>
      </w:r>
    </w:p>
    <w:p>
      <w:pPr>
        <w:pStyle w:val="0"/>
        <w:jc w:val="both"/>
      </w:pPr>
      <w:r>
        <w:rPr>
          <w:sz w:val="20"/>
        </w:rPr>
      </w:r>
    </w:p>
    <w:p>
      <w:pPr>
        <w:pStyle w:val="0"/>
        <w:ind w:firstLine="540"/>
        <w:jc w:val="both"/>
      </w:pPr>
      <w:r>
        <w:rPr>
          <w:sz w:val="20"/>
        </w:rPr>
        <w:t xml:space="preserve">63. Кандидаты на получение медицинского заключения 2 класса с выявленной рестриктовной кардиомиопатией подлежат кардиологическому обследованию.</w:t>
      </w:r>
    </w:p>
    <w:p>
      <w:pPr>
        <w:pStyle w:val="0"/>
        <w:spacing w:before="200" w:line-rule="auto"/>
        <w:ind w:firstLine="540"/>
        <w:jc w:val="both"/>
      </w:pPr>
      <w:r>
        <w:rPr>
          <w:sz w:val="20"/>
        </w:rPr>
        <w:t xml:space="preserve">64. Медицинское заключение 2 класса не выдается или не возобновляется:</w:t>
      </w:r>
    </w:p>
    <w:p>
      <w:pPr>
        <w:pStyle w:val="0"/>
        <w:spacing w:before="200" w:line-rule="auto"/>
        <w:ind w:firstLine="540"/>
        <w:jc w:val="both"/>
      </w:pPr>
      <w:r>
        <w:rPr>
          <w:sz w:val="20"/>
        </w:rPr>
        <w:t xml:space="preserve">если причиной развития кардиомиопатии не является гемохроматоз;</w:t>
      </w:r>
    </w:p>
    <w:p>
      <w:pPr>
        <w:pStyle w:val="0"/>
        <w:spacing w:before="200" w:line-rule="auto"/>
        <w:ind w:firstLine="540"/>
        <w:jc w:val="both"/>
      </w:pPr>
      <w:r>
        <w:rPr>
          <w:sz w:val="20"/>
        </w:rPr>
        <w:t xml:space="preserve">при нарушении углеводного обмена;</w:t>
      </w:r>
    </w:p>
    <w:p>
      <w:pPr>
        <w:pStyle w:val="0"/>
        <w:spacing w:before="200" w:line-rule="auto"/>
        <w:ind w:firstLine="540"/>
        <w:jc w:val="both"/>
      </w:pPr>
      <w:r>
        <w:rPr>
          <w:sz w:val="20"/>
        </w:rPr>
        <w:t xml:space="preserve">при наличии инфузионно-зависимой анемии;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65. Выдача медицинского заключения допускается только в случае,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осматриваются кардиологом,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Дилатационная кардиомиопатия и кардиомиопатия,</w:t>
      </w:r>
    </w:p>
    <w:p>
      <w:pPr>
        <w:pStyle w:val="2"/>
        <w:jc w:val="center"/>
      </w:pPr>
      <w:r>
        <w:rPr>
          <w:sz w:val="20"/>
        </w:rPr>
        <w:t xml:space="preserve">обусловленная воздействием алкоголя/лекарственных средств</w:t>
      </w:r>
    </w:p>
    <w:p>
      <w:pPr>
        <w:pStyle w:val="2"/>
        <w:jc w:val="center"/>
      </w:pPr>
      <w:r>
        <w:rPr>
          <w:sz w:val="20"/>
        </w:rPr>
        <w:t xml:space="preserve">(I42.0, I42.6, I42.7)</w:t>
      </w:r>
    </w:p>
    <w:p>
      <w:pPr>
        <w:pStyle w:val="0"/>
        <w:jc w:val="both"/>
      </w:pPr>
      <w:r>
        <w:rPr>
          <w:sz w:val="20"/>
        </w:rPr>
      </w:r>
    </w:p>
    <w:p>
      <w:pPr>
        <w:pStyle w:val="0"/>
        <w:ind w:firstLine="540"/>
        <w:jc w:val="both"/>
      </w:pPr>
      <w:r>
        <w:rPr>
          <w:sz w:val="20"/>
        </w:rPr>
        <w:t xml:space="preserve">66. Кандидаты на получение медицинского заключения 2 класса с выявленной дилатационной кардиомиопатией подлежат кардиологическому обследованию.</w:t>
      </w:r>
    </w:p>
    <w:p>
      <w:pPr>
        <w:pStyle w:val="0"/>
        <w:spacing w:before="200" w:line-rule="auto"/>
        <w:ind w:firstLine="540"/>
        <w:jc w:val="both"/>
      </w:pPr>
      <w:r>
        <w:rPr>
          <w:sz w:val="20"/>
        </w:rPr>
        <w:t xml:space="preserve">67. Медицинское заключение 2 класса не выдается:</w:t>
      </w:r>
    </w:p>
    <w:p>
      <w:pPr>
        <w:pStyle w:val="0"/>
        <w:spacing w:before="200" w:line-rule="auto"/>
        <w:ind w:firstLine="540"/>
        <w:jc w:val="both"/>
      </w:pPr>
      <w:r>
        <w:rPr>
          <w:sz w:val="20"/>
        </w:rPr>
        <w:t xml:space="preserve">в течение первого года после верификации диагноза;</w:t>
      </w:r>
    </w:p>
    <w:p>
      <w:pPr>
        <w:pStyle w:val="0"/>
        <w:spacing w:before="200" w:line-rule="auto"/>
        <w:ind w:firstLine="540"/>
        <w:jc w:val="both"/>
      </w:pPr>
      <w:r>
        <w:rPr>
          <w:sz w:val="20"/>
        </w:rPr>
        <w:t xml:space="preserve">при фракции выброса ЛЖ (формула Симпсона) &lt;= 54%;</w:t>
      </w:r>
    </w:p>
    <w:p>
      <w:pPr>
        <w:pStyle w:val="0"/>
        <w:spacing w:before="200" w:line-rule="auto"/>
        <w:ind w:firstLine="540"/>
        <w:jc w:val="both"/>
      </w:pPr>
      <w:r>
        <w:rPr>
          <w:sz w:val="20"/>
        </w:rPr>
        <w:t xml:space="preserve">при наличии желудочковых экстрасистол 3 - 5 градаций по B. Lown и M. Wolf в модификации M. Ryan и эпизодов желудочковой тахикардии при суточном мониторировании ЭКГ;</w:t>
      </w:r>
    </w:p>
    <w:p>
      <w:pPr>
        <w:pStyle w:val="0"/>
        <w:spacing w:before="200" w:line-rule="auto"/>
        <w:ind w:firstLine="540"/>
        <w:jc w:val="both"/>
      </w:pPr>
      <w:r>
        <w:rPr>
          <w:sz w:val="20"/>
        </w:rPr>
        <w:t xml:space="preserve">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68. Выдача медицинского заключения допускается только в случае,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Саркоидоз с поражением сердца (D86.8)</w:t>
      </w:r>
    </w:p>
    <w:p>
      <w:pPr>
        <w:pStyle w:val="0"/>
        <w:jc w:val="both"/>
      </w:pPr>
      <w:r>
        <w:rPr>
          <w:sz w:val="20"/>
        </w:rPr>
      </w:r>
    </w:p>
    <w:p>
      <w:pPr>
        <w:pStyle w:val="0"/>
        <w:ind w:firstLine="540"/>
        <w:jc w:val="both"/>
      </w:pPr>
      <w:r>
        <w:rPr>
          <w:sz w:val="20"/>
        </w:rPr>
        <w:t xml:space="preserve">69. Кандидаты на получение медицинского заключения 2 класса с впервые установленным диагнозом подлежат кардиологическому обследованию.</w:t>
      </w:r>
    </w:p>
    <w:p>
      <w:pPr>
        <w:pStyle w:val="0"/>
        <w:spacing w:before="200" w:line-rule="auto"/>
        <w:ind w:firstLine="540"/>
        <w:jc w:val="both"/>
      </w:pPr>
      <w:r>
        <w:rPr>
          <w:sz w:val="20"/>
        </w:rPr>
        <w:t xml:space="preserve">70. Медицинское заключение 2 класса не выдается:</w:t>
      </w:r>
    </w:p>
    <w:p>
      <w:pPr>
        <w:pStyle w:val="0"/>
        <w:spacing w:before="200" w:line-rule="auto"/>
        <w:ind w:firstLine="540"/>
        <w:jc w:val="both"/>
      </w:pPr>
      <w:r>
        <w:rPr>
          <w:sz w:val="20"/>
        </w:rPr>
        <w:t xml:space="preserve">в течение первых 6 месяцев после верификации диагноза;</w:t>
      </w:r>
    </w:p>
    <w:p>
      <w:pPr>
        <w:pStyle w:val="0"/>
        <w:spacing w:before="200" w:line-rule="auto"/>
        <w:ind w:firstLine="540"/>
        <w:jc w:val="both"/>
      </w:pPr>
      <w:r>
        <w:rPr>
          <w:sz w:val="20"/>
        </w:rPr>
        <w:t xml:space="preserve">при увеличении корневых лимфоузлов при серии рентгенологических исследований органов грудной клетки;</w:t>
      </w:r>
    </w:p>
    <w:p>
      <w:pPr>
        <w:pStyle w:val="0"/>
        <w:spacing w:before="200" w:line-rule="auto"/>
        <w:ind w:firstLine="540"/>
        <w:jc w:val="both"/>
      </w:pPr>
      <w:r>
        <w:rPr>
          <w:sz w:val="20"/>
        </w:rPr>
        <w:t xml:space="preserve">при отсутствии признаков гипоксемии;</w:t>
      </w:r>
    </w:p>
    <w:p>
      <w:pPr>
        <w:pStyle w:val="0"/>
        <w:spacing w:before="200" w:line-rule="auto"/>
        <w:ind w:firstLine="540"/>
        <w:jc w:val="both"/>
      </w:pPr>
      <w:r>
        <w:rPr>
          <w:sz w:val="20"/>
        </w:rPr>
        <w:t xml:space="preserve">при наличии признаков активного саркоидоза внесердечной локализации (в том числе при отсутствии активного процесса при биопсии узла лестничной мышцы);</w:t>
      </w:r>
    </w:p>
    <w:p>
      <w:pPr>
        <w:pStyle w:val="0"/>
        <w:spacing w:before="200" w:line-rule="auto"/>
        <w:ind w:firstLine="540"/>
        <w:jc w:val="both"/>
      </w:pPr>
      <w:r>
        <w:rPr>
          <w:sz w:val="20"/>
        </w:rPr>
        <w:t xml:space="preserve">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 в том числе и с момента верификации диагноза.</w:t>
      </w:r>
    </w:p>
    <w:p>
      <w:pPr>
        <w:pStyle w:val="0"/>
        <w:spacing w:before="200" w:line-rule="auto"/>
        <w:ind w:firstLine="540"/>
        <w:jc w:val="both"/>
      </w:pPr>
      <w:r>
        <w:rPr>
          <w:sz w:val="20"/>
        </w:rPr>
        <w:t xml:space="preserve">71. Выдача медицинского заключения допускается только в случае,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регулярно (минимум один раз в 6 месяцев) осматриваются кардиологом,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Аритмогенная дисплазия правого желудочка (I42.8)</w:t>
      </w:r>
    </w:p>
    <w:p>
      <w:pPr>
        <w:pStyle w:val="0"/>
        <w:jc w:val="both"/>
      </w:pPr>
      <w:r>
        <w:rPr>
          <w:sz w:val="20"/>
        </w:rPr>
      </w:r>
    </w:p>
    <w:p>
      <w:pPr>
        <w:pStyle w:val="0"/>
        <w:ind w:firstLine="540"/>
        <w:jc w:val="both"/>
      </w:pPr>
      <w:r>
        <w:rPr>
          <w:sz w:val="20"/>
        </w:rPr>
        <w:t xml:space="preserve">72. Кандидаты на получение медицинского заключения 2 класса при выявлении изменений на ЭКГ, свидетельствующих о поражении правых отделов сердца (появление эпсилон-зубцов в отведениях V1 - V3, удлинение комплекса QRS &gt;= 110 мс с инверсией зубца T в отведениях V1 - V2 при отсутствии полной блокады правой ножки пучка Гиса, инверсия зубцов T в отведениях V1 - V4 при наличии полной блокады правой ножки пучка Гиса) подлежат кардиологическому обследованию.</w:t>
      </w:r>
    </w:p>
    <w:p>
      <w:pPr>
        <w:pStyle w:val="0"/>
        <w:spacing w:before="200" w:line-rule="auto"/>
        <w:ind w:firstLine="540"/>
        <w:jc w:val="both"/>
      </w:pPr>
      <w:r>
        <w:rPr>
          <w:sz w:val="20"/>
        </w:rPr>
        <w:t xml:space="preserve">Установление диагноза является причиной отказа в допуске к работе.</w:t>
      </w:r>
    </w:p>
    <w:p>
      <w:pPr>
        <w:pStyle w:val="0"/>
        <w:jc w:val="both"/>
      </w:pPr>
      <w:r>
        <w:rPr>
          <w:sz w:val="20"/>
        </w:rPr>
      </w:r>
    </w:p>
    <w:p>
      <w:pPr>
        <w:pStyle w:val="2"/>
        <w:outlineLvl w:val="3"/>
        <w:jc w:val="center"/>
      </w:pPr>
      <w:r>
        <w:rPr>
          <w:sz w:val="20"/>
        </w:rPr>
        <w:t xml:space="preserve">Синдром спортивного сердца (I42.7)</w:t>
      </w:r>
    </w:p>
    <w:p>
      <w:pPr>
        <w:pStyle w:val="0"/>
        <w:jc w:val="both"/>
      </w:pPr>
      <w:r>
        <w:rPr>
          <w:sz w:val="20"/>
        </w:rPr>
      </w:r>
    </w:p>
    <w:p>
      <w:pPr>
        <w:pStyle w:val="0"/>
        <w:ind w:firstLine="540"/>
        <w:jc w:val="both"/>
      </w:pPr>
      <w:r>
        <w:rPr>
          <w:sz w:val="20"/>
        </w:rPr>
        <w:t xml:space="preserve">73. Выявление при эхокардиографии увеличения КДР ЛЖ у мужчин &gt;= 6,0 см (для женщин &gt;= 5,3 см) и/или индекса КДР/ППТ для мужчин &gt;= 3,2 см/м</w:t>
      </w:r>
      <w:r>
        <w:rPr>
          <w:sz w:val="20"/>
          <w:vertAlign w:val="superscript"/>
        </w:rPr>
        <w:t xml:space="preserve">2</w:t>
      </w:r>
      <w:r>
        <w:rPr>
          <w:sz w:val="20"/>
        </w:rPr>
        <w:t xml:space="preserve"> (для женщин &gt;= 3,3 см/м</w:t>
      </w:r>
      <w:r>
        <w:rPr>
          <w:sz w:val="20"/>
          <w:vertAlign w:val="superscript"/>
        </w:rPr>
        <w:t xml:space="preserve">2</w:t>
      </w:r>
      <w:r>
        <w:rPr>
          <w:sz w:val="20"/>
        </w:rPr>
        <w:t xml:space="preserve">) требует кардиологического обследования и проведения дифференциальной диагностики заболеваний сердца.</w:t>
      </w:r>
    </w:p>
    <w:p>
      <w:pPr>
        <w:pStyle w:val="0"/>
        <w:spacing w:before="200" w:line-rule="auto"/>
        <w:ind w:firstLine="540"/>
        <w:jc w:val="both"/>
      </w:pPr>
      <w:r>
        <w:rPr>
          <w:sz w:val="20"/>
        </w:rPr>
        <w:t xml:space="preserve">74. После постановки диагноза "синдром спортивного сердца" при условии отсутствия значимой структурной патологии сердца кандидаты допускаются к летной работе без ограничений.</w:t>
      </w:r>
    </w:p>
    <w:p>
      <w:pPr>
        <w:pStyle w:val="0"/>
        <w:jc w:val="both"/>
      </w:pPr>
      <w:r>
        <w:rPr>
          <w:sz w:val="20"/>
        </w:rPr>
      </w:r>
    </w:p>
    <w:p>
      <w:pPr>
        <w:pStyle w:val="2"/>
        <w:outlineLvl w:val="3"/>
        <w:jc w:val="center"/>
      </w:pPr>
      <w:r>
        <w:rPr>
          <w:sz w:val="20"/>
        </w:rPr>
        <w:t xml:space="preserve">Врожденные пороки сердца</w:t>
      </w:r>
    </w:p>
    <w:p>
      <w:pPr>
        <w:pStyle w:val="2"/>
        <w:jc w:val="center"/>
      </w:pPr>
      <w:r>
        <w:rPr>
          <w:sz w:val="20"/>
        </w:rPr>
        <w:t xml:space="preserve">Дефект межпредсердной перегородки (Q21.1)</w:t>
      </w:r>
    </w:p>
    <w:p>
      <w:pPr>
        <w:pStyle w:val="0"/>
        <w:jc w:val="both"/>
      </w:pPr>
      <w:r>
        <w:rPr>
          <w:sz w:val="20"/>
        </w:rPr>
      </w:r>
    </w:p>
    <w:p>
      <w:pPr>
        <w:pStyle w:val="0"/>
        <w:ind w:firstLine="540"/>
        <w:jc w:val="both"/>
      </w:pPr>
      <w:r>
        <w:rPr>
          <w:sz w:val="20"/>
        </w:rPr>
        <w:t xml:space="preserve">75. Кандидаты на получение медицинского заключения 2 класса с выявленными дефектами межпредсердной перегородки подлежат кардиологическому обследованию.</w:t>
      </w:r>
    </w:p>
    <w:p>
      <w:pPr>
        <w:pStyle w:val="0"/>
        <w:spacing w:before="200" w:line-rule="auto"/>
        <w:ind w:firstLine="540"/>
        <w:jc w:val="both"/>
      </w:pPr>
      <w:r>
        <w:rPr>
          <w:sz w:val="20"/>
        </w:rPr>
        <w:t xml:space="preserve">76. Медицинское заключение 2 класса не выдается:</w:t>
      </w:r>
    </w:p>
    <w:p>
      <w:pPr>
        <w:pStyle w:val="0"/>
        <w:spacing w:before="200" w:line-rule="auto"/>
        <w:ind w:firstLine="540"/>
        <w:jc w:val="both"/>
      </w:pPr>
      <w:r>
        <w:rPr>
          <w:sz w:val="20"/>
        </w:rPr>
        <w:t xml:space="preserve">при наличии вторичного дефекта межпредсердной перегородки или открытого овального окна с соотношением максимальных скоростей кровотока в легочной артерии и аорте (соотношение QP/QS) &gt;= 1,5:1 по данным эхокардиографии;</w:t>
      </w:r>
    </w:p>
    <w:p>
      <w:pPr>
        <w:pStyle w:val="0"/>
        <w:spacing w:before="200" w:line-rule="auto"/>
        <w:ind w:firstLine="540"/>
        <w:jc w:val="both"/>
      </w:pPr>
      <w:r>
        <w:rPr>
          <w:sz w:val="20"/>
        </w:rPr>
        <w:t xml:space="preserve">при наличии первичного дефекта межпредсердной перегородки или дефекта венозного синуса или дефекта коронарного синуса;</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77. При оперативной коррекции вторичного дефекта межпредсердной перегородки или открытого овального окна в возрасте до 24 лет заключение 2 класса выдается без ограничений при условии регулярного (не менее одного раза в год) кардиологического обследования.</w:t>
      </w:r>
    </w:p>
    <w:p>
      <w:pPr>
        <w:pStyle w:val="0"/>
        <w:spacing w:before="200" w:line-rule="auto"/>
        <w:ind w:firstLine="540"/>
        <w:jc w:val="both"/>
      </w:pPr>
      <w:r>
        <w:rPr>
          <w:sz w:val="20"/>
        </w:rPr>
        <w:t xml:space="preserve">78. При оперативной коррекции вторичного дефекта межпредсердной перегородки или открытого овального окна в возрасте после 24 лет при наличии вторичного дефекта межпредсердной перегородки или открытого овального окна с соотношением максимальных с соотношением QP/QS &lt;= 1,5:1 по данным эхокардиографии при оперативной коррекции первичного дефекта межпредсердной перегородки или дефекта венозного синуса или дефекта коронарного синуса, возможна выдача медицинского заключения 2 класса при соблюдении следующих условий:</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фибрилляции предсердий и/или трепетания предсердий при трехкратном суточном мониторировании ЭКГ;</w:t>
      </w:r>
    </w:p>
    <w:p>
      <w:pPr>
        <w:pStyle w:val="0"/>
        <w:spacing w:before="200" w:line-rule="auto"/>
        <w:ind w:firstLine="540"/>
        <w:jc w:val="both"/>
      </w:pPr>
      <w:r>
        <w:rPr>
          <w:sz w:val="20"/>
        </w:rPr>
        <w:t xml:space="preserve">отсутствие при кардиологическом обследовании значимой структурной патологии сердца 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эхокардиографии площади струи регургитации &lt;= 4 см</w:t>
      </w:r>
      <w:r>
        <w:rPr>
          <w:sz w:val="20"/>
          <w:vertAlign w:val="superscript"/>
        </w:rPr>
        <w:t xml:space="preserve">2</w:t>
      </w:r>
      <w:r>
        <w:rPr>
          <w:sz w:val="20"/>
        </w:rPr>
        <w:t xml:space="preserve"> и/или &lt;= 20% от площади левого предсердия и/или фракции регургитации &lt;= 30% объема левого предсердия ширине vena constanta &lt;= 0,3 см при митральной регургитации;</w:t>
      </w:r>
    </w:p>
    <w:p>
      <w:pPr>
        <w:pStyle w:val="0"/>
        <w:spacing w:before="200" w:line-rule="auto"/>
        <w:ind w:firstLine="540"/>
        <w:jc w:val="both"/>
      </w:pPr>
      <w:r>
        <w:rPr>
          <w:sz w:val="20"/>
        </w:rPr>
        <w:t xml:space="preserve">отсутствие жалоб и/или клинических проявлений заболевания;</w:t>
      </w:r>
    </w:p>
    <w:p>
      <w:pPr>
        <w:pStyle w:val="0"/>
        <w:spacing w:before="200" w:line-rule="auto"/>
        <w:ind w:firstLine="540"/>
        <w:jc w:val="both"/>
      </w:pPr>
      <w:r>
        <w:rPr>
          <w:sz w:val="20"/>
        </w:rPr>
        <w:t xml:space="preserve">регулярно (не менее одного раза в год) проведение кардиологического обследования.</w:t>
      </w:r>
    </w:p>
    <w:p>
      <w:pPr>
        <w:pStyle w:val="0"/>
        <w:jc w:val="both"/>
      </w:pPr>
      <w:r>
        <w:rPr>
          <w:sz w:val="20"/>
        </w:rPr>
      </w:r>
    </w:p>
    <w:p>
      <w:pPr>
        <w:pStyle w:val="2"/>
        <w:outlineLvl w:val="3"/>
        <w:jc w:val="center"/>
      </w:pPr>
      <w:r>
        <w:rPr>
          <w:sz w:val="20"/>
        </w:rPr>
        <w:t xml:space="preserve">Дефект межжелудочковой перегородки (Q21.0)</w:t>
      </w:r>
    </w:p>
    <w:p>
      <w:pPr>
        <w:pStyle w:val="0"/>
        <w:jc w:val="both"/>
      </w:pPr>
      <w:r>
        <w:rPr>
          <w:sz w:val="20"/>
        </w:rPr>
      </w:r>
    </w:p>
    <w:p>
      <w:pPr>
        <w:pStyle w:val="0"/>
        <w:ind w:firstLine="540"/>
        <w:jc w:val="both"/>
      </w:pPr>
      <w:r>
        <w:rPr>
          <w:sz w:val="20"/>
        </w:rPr>
        <w:t xml:space="preserve">79. Кандидаты на получение медицинского заключения 2 класса с выявленными дефектами межжелудочковой перегородки подлежат кардиологическому обследованию.</w:t>
      </w:r>
    </w:p>
    <w:p>
      <w:pPr>
        <w:pStyle w:val="0"/>
        <w:spacing w:before="200" w:line-rule="auto"/>
        <w:ind w:firstLine="540"/>
        <w:jc w:val="both"/>
      </w:pPr>
      <w:r>
        <w:rPr>
          <w:sz w:val="20"/>
        </w:rPr>
        <w:t xml:space="preserve">80. Медицинское заключение 2 класса не выдается:</w:t>
      </w:r>
    </w:p>
    <w:p>
      <w:pPr>
        <w:pStyle w:val="0"/>
        <w:spacing w:before="200" w:line-rule="auto"/>
        <w:ind w:firstLine="540"/>
        <w:jc w:val="both"/>
      </w:pPr>
      <w:r>
        <w:rPr>
          <w:sz w:val="20"/>
        </w:rPr>
        <w:t xml:space="preserve">при наличии вторичного дефекта межжелудочковой перегородки с соотношением QP/QS &gt;= 1,5:1 по данным эхокардиографии без оперативной коррекции;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81. При оперативной коррекции вторичного дефекта межжелудочковой перегородки, наличии дефекта межжелудочковой перегородки с соотношением QP/QS &lt;= 1,5:1 по данным эхокардиографии возможна выдача медицинского заключения 2 класса при соблюдении следующих условий:</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при кардиологическом обследовании значимой структурной патологии сердца 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отсутствие желудочковых аритмий 3 - 5 градаций по B. Lown и M. Wolf в модификации M. Ryan и эпизоды желудочковой тахикардии при суточном мониторировании ЭКГ;</w:t>
      </w:r>
    </w:p>
    <w:p>
      <w:pPr>
        <w:pStyle w:val="0"/>
        <w:spacing w:before="200" w:line-rule="auto"/>
        <w:ind w:firstLine="540"/>
        <w:jc w:val="both"/>
      </w:pPr>
      <w:r>
        <w:rPr>
          <w:sz w:val="20"/>
        </w:rPr>
        <w:t xml:space="preserve">отсутствие жалоб и/или клинических проявлений заболевания;</w:t>
      </w:r>
    </w:p>
    <w:p>
      <w:pPr>
        <w:pStyle w:val="0"/>
        <w:spacing w:before="200" w:line-rule="auto"/>
        <w:ind w:firstLine="540"/>
        <w:jc w:val="both"/>
      </w:pPr>
      <w:r>
        <w:rPr>
          <w:sz w:val="20"/>
        </w:rPr>
        <w:t xml:space="preserve">регулярно (не менее одного раза в год) проведение кардиологического обследования.</w:t>
      </w:r>
    </w:p>
    <w:p>
      <w:pPr>
        <w:pStyle w:val="0"/>
        <w:jc w:val="both"/>
      </w:pPr>
      <w:r>
        <w:rPr>
          <w:sz w:val="20"/>
        </w:rPr>
      </w:r>
    </w:p>
    <w:p>
      <w:pPr>
        <w:pStyle w:val="2"/>
        <w:outlineLvl w:val="3"/>
        <w:jc w:val="center"/>
      </w:pPr>
      <w:r>
        <w:rPr>
          <w:sz w:val="20"/>
        </w:rPr>
        <w:t xml:space="preserve">Артериальная гипертензия и гипотензия (I10 - I15, I95)</w:t>
      </w:r>
    </w:p>
    <w:p>
      <w:pPr>
        <w:pStyle w:val="0"/>
        <w:jc w:val="both"/>
      </w:pPr>
      <w:r>
        <w:rPr>
          <w:sz w:val="20"/>
        </w:rPr>
      </w:r>
    </w:p>
    <w:p>
      <w:pPr>
        <w:pStyle w:val="0"/>
        <w:ind w:firstLine="540"/>
        <w:jc w:val="both"/>
      </w:pPr>
      <w:r>
        <w:rPr>
          <w:sz w:val="20"/>
        </w:rPr>
        <w:t xml:space="preserve">82. Кандидаты на получение медицинского заключения 2 класса с выявленным повышением артериального давления &gt;= 140/90 мм рт. ст. подлежат кардиологическому обследованию. На время подбора антигипертензивной терапии кандидаты на получение медицинского заключения 2 класса отстраняются от работы. После подбора антигипертензивной терапии допуск к работе осуществляется по результатам суточного мониторирования артериального давления с величиной среднесуточного артериального давления &lt; 130/80 мм рт. ст. и отсутствии эпизодов артериальной гипотензии &lt; 90/60 мм рт. ст.</w:t>
      </w:r>
    </w:p>
    <w:p>
      <w:pPr>
        <w:pStyle w:val="0"/>
        <w:spacing w:before="200" w:line-rule="auto"/>
        <w:ind w:firstLine="540"/>
        <w:jc w:val="both"/>
      </w:pPr>
      <w:r>
        <w:rPr>
          <w:sz w:val="20"/>
        </w:rPr>
        <w:t xml:space="preserve">83. Допускается выдача медицинского заключения 2 класса без применения ограничений при стабильном уровне артериального давления &lt; 145/95 мм рт. ст. в том случае, если кандидаты на получение медицинского заключения 2 класса минимизировали все корригируемые факторы сердечно-сосудистого риска до приемлемого уровня и в случае необходимости получают медикаментозную терапию.</w:t>
      </w:r>
    </w:p>
    <w:p>
      <w:pPr>
        <w:pStyle w:val="0"/>
        <w:spacing w:before="200" w:line-rule="auto"/>
        <w:ind w:firstLine="540"/>
        <w:jc w:val="both"/>
      </w:pPr>
      <w:r>
        <w:rPr>
          <w:sz w:val="20"/>
        </w:rPr>
        <w:t xml:space="preserve">84. При наличии сахарного диабета или микроальбуминурии целевые значения артериального давления не должны превышать 130/80 мм рт. ст.</w:t>
      </w:r>
    </w:p>
    <w:p>
      <w:pPr>
        <w:pStyle w:val="0"/>
        <w:spacing w:before="200" w:line-rule="auto"/>
        <w:ind w:firstLine="540"/>
        <w:jc w:val="both"/>
      </w:pPr>
      <w:r>
        <w:rPr>
          <w:sz w:val="20"/>
        </w:rPr>
        <w:t xml:space="preserve">85. Медицинское заключение 2 класса не выдается:</w:t>
      </w:r>
    </w:p>
    <w:p>
      <w:pPr>
        <w:pStyle w:val="0"/>
        <w:spacing w:before="200" w:line-rule="auto"/>
        <w:ind w:firstLine="540"/>
        <w:jc w:val="both"/>
      </w:pPr>
      <w:r>
        <w:rPr>
          <w:sz w:val="20"/>
        </w:rPr>
        <w:t xml:space="preserve">при вторичной артериальной гипертензии без лечения основного заболевания;</w:t>
      </w:r>
    </w:p>
    <w:p>
      <w:pPr>
        <w:pStyle w:val="0"/>
        <w:spacing w:before="200" w:line-rule="auto"/>
        <w:ind w:firstLine="540"/>
        <w:jc w:val="both"/>
      </w:pPr>
      <w:r>
        <w:rPr>
          <w:sz w:val="20"/>
        </w:rPr>
        <w:t xml:space="preserve">при стойком повышении уровня артериального давления у обладателей свидетельств, превышающем 160/95 мм рт. ст.</w:t>
      </w:r>
    </w:p>
    <w:p>
      <w:pPr>
        <w:pStyle w:val="0"/>
        <w:spacing w:before="200" w:line-rule="auto"/>
        <w:ind w:firstLine="540"/>
        <w:jc w:val="both"/>
      </w:pPr>
      <w:r>
        <w:rPr>
          <w:sz w:val="20"/>
        </w:rPr>
        <w:t xml:space="preserve">86. Обладатели свидетельств с артериальной гипертензией подлежат ежегодному кардиологическому обследованию.</w:t>
      </w:r>
    </w:p>
    <w:p>
      <w:pPr>
        <w:pStyle w:val="0"/>
        <w:spacing w:before="200" w:line-rule="auto"/>
        <w:ind w:firstLine="540"/>
        <w:jc w:val="both"/>
      </w:pPr>
      <w:r>
        <w:rPr>
          <w:sz w:val="20"/>
        </w:rPr>
        <w:t xml:space="preserve">87. Кандидаты на получение медицинского заключения 2 класса с артериальной гипотензией &lt; 90 мм рт. ст., сопровождающейся клинической симптоматикой, признаются не годными к обучению и работе.</w:t>
      </w:r>
    </w:p>
    <w:p>
      <w:pPr>
        <w:pStyle w:val="0"/>
        <w:jc w:val="both"/>
      </w:pPr>
      <w:r>
        <w:rPr>
          <w:sz w:val="20"/>
        </w:rPr>
      </w:r>
    </w:p>
    <w:p>
      <w:pPr>
        <w:pStyle w:val="2"/>
        <w:outlineLvl w:val="2"/>
        <w:jc w:val="center"/>
      </w:pPr>
      <w:r>
        <w:rPr>
          <w:sz w:val="20"/>
        </w:rPr>
        <w:t xml:space="preserve">II. Периферические артерии и венозная система (I70 - I89)</w:t>
      </w:r>
    </w:p>
    <w:p>
      <w:pPr>
        <w:pStyle w:val="0"/>
        <w:jc w:val="both"/>
      </w:pPr>
      <w:r>
        <w:rPr>
          <w:sz w:val="20"/>
        </w:rPr>
      </w:r>
    </w:p>
    <w:p>
      <w:pPr>
        <w:pStyle w:val="0"/>
        <w:ind w:firstLine="540"/>
        <w:jc w:val="both"/>
      </w:pPr>
      <w:r>
        <w:rPr>
          <w:sz w:val="20"/>
        </w:rPr>
        <w:t xml:space="preserve">88. При облитерирующих заболеваниях артерий с наличием болевого синдрома, трофических расстройств выносится заключение о негодности к обучению и работе (I70).</w:t>
      </w:r>
    </w:p>
    <w:p>
      <w:pPr>
        <w:pStyle w:val="0"/>
        <w:spacing w:before="200" w:line-rule="auto"/>
        <w:ind w:firstLine="540"/>
        <w:jc w:val="both"/>
      </w:pPr>
      <w:r>
        <w:rPr>
          <w:sz w:val="20"/>
        </w:rPr>
        <w:t xml:space="preserve">89. Наличие аневризмы артериального сосуда, тромба в артерии или вене, атеросклеротической бляшки, препятствующей достаточному кровообращению в компетенции соответствующего бассейна, является основанием для определения негодности к обучению и работе. Диагностированная артериальная аневризма (I72) на фоне имеющихся клинических проявлений или, если аневризматическое расширение диаметром более 5 см, является основанием для определения негодности к обучению и работе. После проведенного хирургического лечения при благоприятном исходе возможна аттестация на медицинское заключение 2 класса не ранее чем 1 месяц в зависимости от локализации аневризмы и примененной технологии вмешательства. Аневризма аорты (I71) является основанием для отказа в выдаче медицинского заключения 2 класса.</w:t>
      </w:r>
    </w:p>
    <w:p>
      <w:pPr>
        <w:pStyle w:val="0"/>
        <w:spacing w:before="200" w:line-rule="auto"/>
        <w:ind w:firstLine="540"/>
        <w:jc w:val="both"/>
      </w:pPr>
      <w:r>
        <w:rPr>
          <w:sz w:val="20"/>
        </w:rPr>
        <w:t xml:space="preserve">90. При варикозном расширении вен (I83) с признаками трофических расстройств, декомпенсации кровообращения выносится заключение о негодности к обучению и работе. Сроки восстановления на летную работу зависят от вида хирургического вмешательства, но должны составлять не менее 3 недель. Решение о годности к обучению и работе после хирургического вмешательства принимается совместно с ангиохирургом, при необходимости - по результатам дополнительного контрольного обследования.</w:t>
      </w:r>
    </w:p>
    <w:p>
      <w:pPr>
        <w:pStyle w:val="0"/>
        <w:spacing w:before="200" w:line-rule="auto"/>
        <w:ind w:firstLine="540"/>
        <w:jc w:val="both"/>
      </w:pPr>
      <w:r>
        <w:rPr>
          <w:sz w:val="20"/>
        </w:rPr>
        <w:t xml:space="preserve">91. После перенесенного тромбоза в поверхностных и глубоких венах конечностей (I80) вопрос о допуске к обучению и работе решается через 2 недели после отмены антикоагулянтной терапии при отсутствии тромботических масс в вене по данным ультразвукового исследования и не менее чем через 3 недели после хирургического лечения. Решение о необходимости хирургического лечения принимается на основании данных инструментального обследования, клинической картины, заключения ангиохирурга. При посттромбофлебитической болезни выносится заключение о негодности к обучению и работе (I87.0).</w:t>
      </w:r>
    </w:p>
    <w:p>
      <w:pPr>
        <w:pStyle w:val="0"/>
        <w:jc w:val="both"/>
      </w:pPr>
      <w:r>
        <w:rPr>
          <w:sz w:val="20"/>
        </w:rPr>
      </w:r>
    </w:p>
    <w:p>
      <w:pPr>
        <w:pStyle w:val="2"/>
        <w:outlineLvl w:val="2"/>
        <w:jc w:val="center"/>
      </w:pPr>
      <w:r>
        <w:rPr>
          <w:sz w:val="20"/>
        </w:rPr>
        <w:t xml:space="preserve">III. Система органов дыхания (J00 - J99)</w:t>
      </w:r>
    </w:p>
    <w:p>
      <w:pPr>
        <w:pStyle w:val="0"/>
        <w:jc w:val="both"/>
      </w:pPr>
      <w:r>
        <w:rPr>
          <w:sz w:val="20"/>
        </w:rPr>
      </w:r>
    </w:p>
    <w:p>
      <w:pPr>
        <w:pStyle w:val="0"/>
        <w:ind w:firstLine="540"/>
        <w:jc w:val="both"/>
      </w:pPr>
      <w:r>
        <w:rPr>
          <w:sz w:val="20"/>
        </w:rPr>
        <w:t xml:space="preserve">92. В случае если кандидаты на получение медицинского заключения 2 класса не имеют функциональных или структурных органических заболеваний дыхательной системы, которые могут помешать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93. Кандидаты на получение медицинского заключения 2 класса со значительным нарушением функции легких признаются не годными к обучению и работе. Признание годности проводится после восстановления функции легких и при их удовлетворительном состоянии по результатам исследований. При этом ОФВ1, ЖЕЛ должны быть в пределах нормы.</w:t>
      </w:r>
    </w:p>
    <w:p>
      <w:pPr>
        <w:pStyle w:val="0"/>
        <w:spacing w:before="200" w:line-rule="auto"/>
        <w:ind w:firstLine="540"/>
        <w:jc w:val="both"/>
      </w:pPr>
      <w:r>
        <w:rPr>
          <w:sz w:val="20"/>
        </w:rPr>
        <w:t xml:space="preserve">94. Болезни органов дыхания с выраженным нарушением функций и/или склонные к обострениям - бронхиальная астма (J45), бронхоэктатическая болезнь (J47), активный саркоидоз (D86), хроническая обструктивная болезнь легких (ХОБЛ) (J44), интерстициальные заболевания легких (J84) с выраженным нарушением функции внешнего дыхания, синдром обструктивного апноэ сна (G47,3), крупное оперативное хирургическое вмешательство на органах грудной клетки, пульмонэктомия (Z98.8), являются основаниями для вынесения заключения о негодности к обучению и работе.</w:t>
      </w:r>
    </w:p>
    <w:p>
      <w:pPr>
        <w:pStyle w:val="0"/>
        <w:spacing w:before="200" w:line-rule="auto"/>
        <w:ind w:firstLine="540"/>
        <w:jc w:val="both"/>
      </w:pPr>
      <w:r>
        <w:rPr>
          <w:sz w:val="20"/>
        </w:rPr>
        <w:t xml:space="preserve">95. Лица, перенесшие спонтанный пневмоторакс (Z93), подлежат восстановлению на работу не ранее 6 недель после выздоровления от одного спонтанного пневмоторакса при условии, что обследование не выявило причины для его повторного возникновения или выздоровления после хирургического вмешательства в случае рецидивирования пневмоторакса. Повторный пневмоторакс без хирургического лечения восстановление на работу исключает.</w:t>
      </w:r>
    </w:p>
    <w:p>
      <w:pPr>
        <w:pStyle w:val="0"/>
        <w:spacing w:before="200" w:line-rule="auto"/>
        <w:ind w:firstLine="540"/>
        <w:jc w:val="both"/>
      </w:pPr>
      <w:r>
        <w:rPr>
          <w:sz w:val="20"/>
        </w:rPr>
        <w:t xml:space="preserve">96. Кандидаты на получение медицинского заключения 2 класса с ХОБЛ в стадии ремиссии и сохранением функции дыхания допускаются к работе без ограничений. При умеренных нарушениях функции дыхания с ОФВ1, ЖЕЛ не менее 70% применяется ограничение TML с расширенным обследованием дыхательной и сердечно-сосудистой систем при каждом возобновлении или продлении медицинского заключения.</w:t>
      </w:r>
    </w:p>
    <w:p>
      <w:pPr>
        <w:pStyle w:val="0"/>
        <w:spacing w:before="200" w:line-rule="auto"/>
        <w:ind w:firstLine="540"/>
        <w:jc w:val="both"/>
      </w:pPr>
      <w:r>
        <w:rPr>
          <w:sz w:val="20"/>
        </w:rPr>
        <w:t xml:space="preserve">97. При проникающем ранении грудной клетки, при наличии инородных тел в грудной стенке или в легочной ткани, отдаленных от крупных сосудов сердца, не дающих клинических проявлений, при хорошей функции внешнего дыхания, возможно определение годности к обучению и работе.</w:t>
      </w:r>
    </w:p>
    <w:p>
      <w:pPr>
        <w:pStyle w:val="0"/>
        <w:spacing w:before="200" w:line-rule="auto"/>
        <w:ind w:firstLine="540"/>
        <w:jc w:val="both"/>
      </w:pPr>
      <w:r>
        <w:rPr>
          <w:sz w:val="20"/>
        </w:rPr>
        <w:t xml:space="preserve">98. Кандидаты на получение медицинского заключения 2 класса с активными формами туберкулеза органов дыхания (A15) или с выраженными остаточными изменениями признаются не годными к обучению и работе.</w:t>
      </w:r>
    </w:p>
    <w:p>
      <w:pPr>
        <w:pStyle w:val="0"/>
        <w:spacing w:before="200" w:line-rule="auto"/>
        <w:ind w:firstLine="540"/>
        <w:jc w:val="both"/>
      </w:pPr>
      <w:r>
        <w:rPr>
          <w:sz w:val="20"/>
        </w:rPr>
        <w:t xml:space="preserve">99. Кандидаты на получение медицинского заключения 2 класса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апикальные или плевральные наслоения) без смещения органов средостения с умеренным нарушением функции внешнего дыхания допускаются к работе не ранее чем через 6 месяцев с обязательным обследованием легочной и сердечно-сосудистой системы.</w:t>
      </w:r>
    </w:p>
    <w:p>
      <w:pPr>
        <w:pStyle w:val="0"/>
        <w:spacing w:before="200" w:line-rule="auto"/>
        <w:ind w:firstLine="540"/>
        <w:jc w:val="both"/>
      </w:pPr>
      <w:r>
        <w:rPr>
          <w:sz w:val="20"/>
        </w:rPr>
        <w:t xml:space="preserve">100. При восстановлении на работу кандидаты на получение медицинского заключения 2 класса после закрытия листка нетрудоспособности представляют заключение противотуберкулезного диспансера с разрешением допуска к работе.</w:t>
      </w:r>
    </w:p>
    <w:p>
      <w:pPr>
        <w:pStyle w:val="0"/>
        <w:spacing w:before="200" w:line-rule="auto"/>
        <w:ind w:firstLine="540"/>
        <w:jc w:val="both"/>
      </w:pPr>
      <w:r>
        <w:rPr>
          <w:sz w:val="20"/>
        </w:rPr>
        <w:t xml:space="preserve">101. После операции по поводу заболеваний органов грудной полости и средостения, пороков развития, патологии грудной клетки и диафрагмы кандидаты на получение медицинского заключения 2 класса признаются годными к работе после контрольного обследования при достаточном восстановлении дыхательной функции при индексе Тиффно не менее 60%.</w:t>
      </w:r>
    </w:p>
    <w:p>
      <w:pPr>
        <w:pStyle w:val="0"/>
        <w:spacing w:before="200" w:line-rule="auto"/>
        <w:ind w:firstLine="540"/>
        <w:jc w:val="both"/>
      </w:pPr>
      <w:r>
        <w:rPr>
          <w:sz w:val="20"/>
        </w:rPr>
        <w:t xml:space="preserve">102.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 к обучению и работе.</w:t>
      </w:r>
    </w:p>
    <w:p>
      <w:pPr>
        <w:pStyle w:val="0"/>
        <w:spacing w:before="200" w:line-rule="auto"/>
        <w:ind w:firstLine="540"/>
        <w:jc w:val="both"/>
      </w:pPr>
      <w:r>
        <w:rPr>
          <w:sz w:val="20"/>
        </w:rPr>
        <w:t xml:space="preserve">103. Кандидаты на получение медицинского заключения 2 класса с активным саркоидозом (D86) признаются не годными к обучению и работе. Восстановление на работу может быть не ранее чем через 6 месяцев после заболевания при полной ремиссии заболевания, отмене медикаментозной терапии с сохранением функции дыхания.</w:t>
      </w:r>
    </w:p>
    <w:p>
      <w:pPr>
        <w:pStyle w:val="0"/>
        <w:spacing w:before="200" w:line-rule="auto"/>
        <w:ind w:firstLine="540"/>
        <w:jc w:val="both"/>
      </w:pPr>
      <w:r>
        <w:rPr>
          <w:sz w:val="20"/>
        </w:rPr>
        <w:t xml:space="preserve">Кандидаты на обучение с любой формой саркоидоза признаются не годными к обучению.</w:t>
      </w:r>
    </w:p>
    <w:p>
      <w:pPr>
        <w:pStyle w:val="0"/>
        <w:jc w:val="both"/>
      </w:pPr>
      <w:r>
        <w:rPr>
          <w:sz w:val="20"/>
        </w:rPr>
      </w:r>
    </w:p>
    <w:p>
      <w:pPr>
        <w:pStyle w:val="2"/>
        <w:outlineLvl w:val="2"/>
        <w:jc w:val="center"/>
      </w:pPr>
      <w:r>
        <w:rPr>
          <w:sz w:val="20"/>
        </w:rPr>
        <w:t xml:space="preserve">IV. Пищеварительная система (K00 - K93)</w:t>
      </w:r>
    </w:p>
    <w:p>
      <w:pPr>
        <w:pStyle w:val="0"/>
        <w:jc w:val="both"/>
      </w:pPr>
      <w:r>
        <w:rPr>
          <w:sz w:val="20"/>
        </w:rPr>
      </w:r>
    </w:p>
    <w:p>
      <w:pPr>
        <w:pStyle w:val="0"/>
        <w:ind w:firstLine="540"/>
        <w:jc w:val="both"/>
      </w:pPr>
      <w:r>
        <w:rPr>
          <w:sz w:val="20"/>
        </w:rPr>
        <w:t xml:space="preserve">104. В случае если кандидаты на получение медицинского заключения 2 класса не имеют функциональных или структурных органических заболеваний желудочно-кишечного тракта, препятствующих безопасному выполнению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105. Какие-либо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предусмотренных соответствующим свидетельством, являются причиной вынесения заключения о негодности к обучению и работе. Кандидаты на получение медицинского заключения 2 класса с какими-либо последствиями заболеваний или хирургического вмешательства на органах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 годные к обучению и работе.</w:t>
      </w:r>
    </w:p>
    <w:p>
      <w:pPr>
        <w:pStyle w:val="0"/>
        <w:spacing w:before="200" w:line-rule="auto"/>
        <w:ind w:firstLine="540"/>
        <w:jc w:val="both"/>
      </w:pPr>
      <w:r>
        <w:rPr>
          <w:sz w:val="20"/>
        </w:rPr>
        <w:t xml:space="preserve">106. Кандидаты на получение медицинского заключения 2 класса с патологией желудочно-кишечного тракта - рецидивирующие диспепсическими расстройствами (K58), требующими медикаментозного лечения, гепатитами в активной стадии (K73), циррозом печени (K74.3 - K74.6), симптомной желчнокаменной болезнью или бессимптомной с небольшими многочисленными камнями (K80), острым или хроническим воспалительным заболеванием кишечника (K25.0 - K25.6),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 годные к работе.</w:t>
      </w:r>
    </w:p>
    <w:p>
      <w:pPr>
        <w:pStyle w:val="0"/>
        <w:spacing w:before="200" w:line-rule="auto"/>
        <w:ind w:firstLine="540"/>
        <w:jc w:val="both"/>
      </w:pPr>
      <w:r>
        <w:rPr>
          <w:sz w:val="20"/>
        </w:rPr>
        <w:t xml:space="preserve">107. Вопрос о годности к работе рассматривается после успешно проведенного лечения или полного выздоровления после перенесенного хирургического вмешательства и по удовлетворительным результатам расширенного гастроэнтерологического обследования.</w:t>
      </w:r>
    </w:p>
    <w:p>
      <w:pPr>
        <w:pStyle w:val="0"/>
        <w:spacing w:before="200" w:line-rule="auto"/>
        <w:ind w:firstLine="540"/>
        <w:jc w:val="both"/>
      </w:pPr>
      <w:r>
        <w:rPr>
          <w:sz w:val="20"/>
        </w:rPr>
        <w:t xml:space="preserve">108. При варикозном расширении вен пищевода, независимо от этиологии и клинических проявлений заболевания, кандидаты на получение медицинского заключения 2 класса признаются не годными к обучению и работе без права восстановления.</w:t>
      </w:r>
    </w:p>
    <w:p>
      <w:pPr>
        <w:pStyle w:val="0"/>
        <w:spacing w:before="200" w:line-rule="auto"/>
        <w:ind w:firstLine="540"/>
        <w:jc w:val="both"/>
      </w:pPr>
      <w:r>
        <w:rPr>
          <w:sz w:val="20"/>
        </w:rPr>
        <w:t xml:space="preserve">109. При осложнениях язвенной болезни (рецидивы, кровотечение, перфорация, пенетрации) проводится лечение с последующим эндоскопическим контролем заживления язвы. При подтвержденном "закрытии" язвенного дефекта, при отсутствии необходимости продолжения медикаментозной терапии и после наблюдения в течение не менее 8 недель выдается медицинское заключение с ограничением TML сроком на 6 месяцев на протяжении 3 лет и ежеквартальным индивидуальным наблюдением с контролем уровня гемоглобина.</w:t>
      </w:r>
    </w:p>
    <w:p>
      <w:pPr>
        <w:pStyle w:val="0"/>
        <w:spacing w:before="200" w:line-rule="auto"/>
        <w:ind w:firstLine="540"/>
        <w:jc w:val="both"/>
      </w:pPr>
      <w:r>
        <w:rPr>
          <w:sz w:val="20"/>
        </w:rPr>
        <w:t xml:space="preserve">110. Медицинское заключение при хронических диффузных заболеваниях печени зависит от клинической формы, стадии и активности процесса. Допуск к работе осуществляется после расширенного обследования при условии стойкой ремиссии и сохранности функций органа. При выявлении носительства вируса гепатитов B и C (Z22) без признаков заболевания (отсутствие синдрома цитолиза) кандидаты на получение медицинского заключения 2 класса допускаются к работе без ограничения. Кандидаты на получение медицинского заключения 2 класса с доброкачественной функциональной билирубинемией после обследования признаются годными к работе и обучению.</w:t>
      </w:r>
    </w:p>
    <w:p>
      <w:pPr>
        <w:pStyle w:val="0"/>
        <w:spacing w:before="200" w:line-rule="auto"/>
        <w:ind w:firstLine="540"/>
        <w:jc w:val="both"/>
      </w:pPr>
      <w:r>
        <w:rPr>
          <w:sz w:val="20"/>
        </w:rPr>
        <w:t xml:space="preserve">111. Острые гепатиты (K72), хронические гепатиты с высокой и средней степенью активности (K73) (любой этиологии), острые панкреатиты (K85), острые холециститы (K81), хронические панкреатиты (K86.1) и хронические холециститы (K81.1) в стадии обострения, проводимое противовирусное лечение (интерфероны) определяют негодность к работе и обучению. При гепатите C допуск к работе рассматривается через 6 месяцев после лечения по достижении стадии стойкой полной ремиссии по результатам гастроэнтерологического и иммунологического обследования. Допуск кандидатов к обучению проводится при полной ремиссии в течение последних 3 лет.</w:t>
      </w:r>
    </w:p>
    <w:p>
      <w:pPr>
        <w:pStyle w:val="0"/>
        <w:spacing w:before="200" w:line-rule="auto"/>
        <w:ind w:firstLine="540"/>
        <w:jc w:val="both"/>
      </w:pPr>
      <w:r>
        <w:rPr>
          <w:sz w:val="20"/>
        </w:rPr>
        <w:t xml:space="preserve">112. При установлении диагноза цирроза печени (K74.3 - K74.6) принимается решение о негодности к обучению и работе.</w:t>
      </w:r>
    </w:p>
    <w:p>
      <w:pPr>
        <w:pStyle w:val="0"/>
        <w:spacing w:before="200" w:line-rule="auto"/>
        <w:ind w:firstLine="540"/>
        <w:jc w:val="both"/>
      </w:pPr>
      <w:r>
        <w:rPr>
          <w:sz w:val="20"/>
        </w:rPr>
        <w:t xml:space="preserve">113.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w:t>
      </w:r>
    </w:p>
    <w:p>
      <w:pPr>
        <w:pStyle w:val="0"/>
        <w:spacing w:before="200" w:line-rule="auto"/>
        <w:ind w:firstLine="540"/>
        <w:jc w:val="both"/>
      </w:pPr>
      <w:r>
        <w:rPr>
          <w:sz w:val="20"/>
        </w:rPr>
        <w:t xml:space="preserve">114. Кандидаты на получение медицинского заключения 2 класса с хроническим воспалительным заболеванием кишечника (K63) признаются годными к обучению и работе с ограничением TML на протяжении 3 лет, если болезнь находится в установившейся ремиссии, состояние является стабильным и нет необходимости применения стероидов системного действия.</w:t>
      </w:r>
    </w:p>
    <w:p>
      <w:pPr>
        <w:pStyle w:val="0"/>
        <w:spacing w:before="200" w:line-rule="auto"/>
        <w:ind w:firstLine="540"/>
        <w:jc w:val="both"/>
      </w:pPr>
      <w:r>
        <w:rPr>
          <w:sz w:val="20"/>
        </w:rPr>
        <w:t xml:space="preserve">115. Кандидаты на получение медицинского заключения 2 класса с язвенным колитом (K51) и болезнью Крона (K50) признаются не годными к обучению и работе.</w:t>
      </w:r>
    </w:p>
    <w:p>
      <w:pPr>
        <w:pStyle w:val="0"/>
        <w:spacing w:before="200" w:line-rule="auto"/>
        <w:ind w:firstLine="540"/>
        <w:jc w:val="both"/>
      </w:pPr>
      <w:r>
        <w:rPr>
          <w:sz w:val="20"/>
        </w:rPr>
        <w:t xml:space="preserve">116. При спаечной болезни (K66) с выраженными клиническими проявлениями кандидаты на получение медицинского заключения признаются не годными к обучению и работе. Долихосигма (Q43.8) без клинических проявлений не является основанием для принятия решения о негодности к обучению и работе.</w:t>
      </w:r>
    </w:p>
    <w:p>
      <w:pPr>
        <w:pStyle w:val="0"/>
        <w:spacing w:before="200" w:line-rule="auto"/>
        <w:ind w:firstLine="540"/>
        <w:jc w:val="both"/>
      </w:pPr>
      <w:r>
        <w:rPr>
          <w:sz w:val="20"/>
        </w:rPr>
        <w:t xml:space="preserve">117. Кандидаты на получение медицинского заключения 2 класса при наличии у них послеоперационных рубцов на брюшной стенке представляют документы о характере перенесенной операции.</w:t>
      </w:r>
    </w:p>
    <w:p>
      <w:pPr>
        <w:pStyle w:val="0"/>
        <w:spacing w:before="200" w:line-rule="auto"/>
        <w:ind w:firstLine="540"/>
        <w:jc w:val="both"/>
      </w:pPr>
      <w:r>
        <w:rPr>
          <w:sz w:val="20"/>
        </w:rPr>
        <w:t xml:space="preserve">118. Диагностированная грыжа (K40 - K46),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 В данном случае выдается ограничение TML.</w:t>
      </w:r>
    </w:p>
    <w:p>
      <w:pPr>
        <w:pStyle w:val="0"/>
        <w:spacing w:before="200" w:line-rule="auto"/>
        <w:ind w:firstLine="540"/>
        <w:jc w:val="both"/>
      </w:pPr>
      <w:r>
        <w:rPr>
          <w:sz w:val="20"/>
        </w:rPr>
        <w:t xml:space="preserve">119. Кандидаты на получение медицинского заключения 2 класса с заболеваниями прямой кишки и параректальной клетчатки (K60 - K63)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 годными к обучению и работе.</w:t>
      </w:r>
    </w:p>
    <w:p>
      <w:pPr>
        <w:pStyle w:val="0"/>
        <w:spacing w:before="200" w:line-rule="auto"/>
        <w:ind w:firstLine="540"/>
        <w:jc w:val="both"/>
      </w:pPr>
      <w:r>
        <w:rPr>
          <w:sz w:val="20"/>
        </w:rPr>
        <w:t xml:space="preserve">120. При благоприятных результатах терапевтического и хирургического лечения и восстановлении функции прямой кишки вопрос о годности кандидата на получение медицинского заключения к обучению и работе рассматривается после выздоровления.</w:t>
      </w:r>
    </w:p>
    <w:p>
      <w:pPr>
        <w:pStyle w:val="0"/>
        <w:jc w:val="both"/>
      </w:pPr>
      <w:r>
        <w:rPr>
          <w:sz w:val="20"/>
        </w:rPr>
      </w:r>
    </w:p>
    <w:p>
      <w:pPr>
        <w:pStyle w:val="2"/>
        <w:outlineLvl w:val="2"/>
        <w:jc w:val="center"/>
      </w:pPr>
      <w:r>
        <w:rPr>
          <w:sz w:val="20"/>
        </w:rPr>
        <w:t xml:space="preserve">V. Метаболические нарушения и эндокринная система</w:t>
      </w:r>
    </w:p>
    <w:p>
      <w:pPr>
        <w:pStyle w:val="2"/>
        <w:jc w:val="center"/>
      </w:pPr>
      <w:r>
        <w:rPr>
          <w:sz w:val="20"/>
        </w:rPr>
        <w:t xml:space="preserve">(E00 - E90)</w:t>
      </w:r>
    </w:p>
    <w:p>
      <w:pPr>
        <w:pStyle w:val="0"/>
        <w:jc w:val="both"/>
      </w:pPr>
      <w:r>
        <w:rPr>
          <w:sz w:val="20"/>
        </w:rPr>
      </w:r>
    </w:p>
    <w:p>
      <w:pPr>
        <w:pStyle w:val="0"/>
        <w:ind w:firstLine="540"/>
        <w:jc w:val="both"/>
      </w:pPr>
      <w:r>
        <w:rPr>
          <w:sz w:val="20"/>
        </w:rPr>
        <w:t xml:space="preserve">121. В случае если кандидаты на получение медицинского заключения 2 класса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122. Кандидаты на получение медицинского заключения 2 класса с метаболическими или эндокринными нарушениями признаются годными к обучению и работе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p>
      <w:pPr>
        <w:pStyle w:val="0"/>
        <w:spacing w:before="200" w:line-rule="auto"/>
        <w:ind w:firstLine="540"/>
        <w:jc w:val="both"/>
      </w:pPr>
      <w:r>
        <w:rPr>
          <w:sz w:val="20"/>
        </w:rPr>
        <w:t xml:space="preserve">123. Кандидаты на получение медицинского заключения 2 класса с выраженными формами болезней эндокринной системы, в том числе с сахарным диабетом 1 типа (инсулинозависимый) (E10), признаются не годными к обучению и работе. Кандидаты на получение медицинского заключения с инсулиннезависимым сахарным диабетом 2 типа (E11) оцениваются как непригодные, если не достигается полного контроля за содержанием сахара в крови и требуется постоянный прием гипогликемических лекарственных препаратов и инсулина. Допуск к выполнению функций, предусмотренных свидетельствами и квалификационными отметками, осуществляется при полной компенсации углеводного обмена без применения лекарственных препаратов, вызывающих гипогликемию.</w:t>
      </w:r>
    </w:p>
    <w:p>
      <w:pPr>
        <w:pStyle w:val="0"/>
        <w:jc w:val="both"/>
      </w:pPr>
      <w:r>
        <w:rPr>
          <w:sz w:val="20"/>
        </w:rPr>
        <w:t xml:space="preserve">(в ред. </w:t>
      </w:r>
      <w:hyperlink w:history="0" r:id="rId12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124. При впервые выявленной форме сахарного диабета 2 типа обладатель медицинского заключения 2 класса подлежит наблюдению и лечению в течение срока до 2 месяцев. Допуск к работе осуществляется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w:t>
      </w:r>
    </w:p>
    <w:p>
      <w:pPr>
        <w:pStyle w:val="0"/>
        <w:spacing w:before="200" w:line-rule="auto"/>
        <w:ind w:firstLine="540"/>
        <w:jc w:val="both"/>
      </w:pPr>
      <w:r>
        <w:rPr>
          <w:sz w:val="20"/>
        </w:rPr>
        <w:t xml:space="preserve">125. При выявлении гипогликемии (E16.2), почечной глюкозурии (E74.8) кандидаты на получение медицинского заключения 2 класса подлежат расширенному обследованию.</w:t>
      </w:r>
    </w:p>
    <w:p>
      <w:pPr>
        <w:pStyle w:val="0"/>
        <w:spacing w:before="200" w:line-rule="auto"/>
        <w:ind w:firstLine="540"/>
        <w:jc w:val="both"/>
      </w:pPr>
      <w:r>
        <w:rPr>
          <w:sz w:val="20"/>
        </w:rPr>
        <w:t xml:space="preserve">126. Диффузное эутиреоидное увеличение щитовидной железы 1 и 2 степени, нарушение толерантности к углеводам не дают оснований для заключения о негодности к обучению и работе.</w:t>
      </w:r>
    </w:p>
    <w:p>
      <w:pPr>
        <w:pStyle w:val="0"/>
        <w:spacing w:before="200" w:line-rule="auto"/>
        <w:ind w:firstLine="540"/>
        <w:jc w:val="both"/>
      </w:pPr>
      <w:r>
        <w:rPr>
          <w:sz w:val="20"/>
        </w:rPr>
        <w:t xml:space="preserve">127. Решение о допуске к работе кандидата на получение медицинского заключения при нарушениях функций щитовидной железы принимается после лечения в течение не менее 3 месяцев по достижении стойкого эутиреоидного состояния с ежегодным контролем гормонов щитовидной железы: при тиреотоксикозе (E05) - без применения медикаментозных средств во время работы; при гипотиреозе (E03) - с регулярным приемом подобранной дозы препарата.</w:t>
      </w:r>
    </w:p>
    <w:p>
      <w:pPr>
        <w:pStyle w:val="0"/>
        <w:spacing w:before="200" w:line-rule="auto"/>
        <w:ind w:firstLine="540"/>
        <w:jc w:val="both"/>
      </w:pPr>
      <w:r>
        <w:rPr>
          <w:sz w:val="20"/>
        </w:rPr>
        <w:t xml:space="preserve">128. При избыточной массе тела проводится обследование для установления характера экзогенно-конституционального ожирения (E66). Степень ожирения устанавливается согласно оценке веса тела по величине индекса массы тела (ИМТ) по Кетле. ИМТ рассчитывается по формуле: вес в кг/рост в м</w:t>
      </w:r>
      <w:r>
        <w:rPr>
          <w:sz w:val="20"/>
          <w:vertAlign w:val="superscript"/>
        </w:rPr>
        <w:t xml:space="preserve">2</w:t>
      </w:r>
      <w:r>
        <w:rPr>
          <w:sz w:val="20"/>
        </w:rPr>
        <w:t xml:space="preserve">. Нормальный вес соответствует ИМТ 20,0 - 25,9; избыточная масса тела - ИМТ 26,0 - 29,9; ожирение 1 степени - ИМТ 30,0 - 34,9; ожирение 2 степени - ИМТ &gt; 35,0.</w:t>
      </w:r>
    </w:p>
    <w:p>
      <w:pPr>
        <w:pStyle w:val="0"/>
        <w:spacing w:before="200" w:line-rule="auto"/>
        <w:ind w:firstLine="540"/>
        <w:jc w:val="both"/>
      </w:pPr>
      <w:r>
        <w:rPr>
          <w:sz w:val="20"/>
        </w:rPr>
        <w:t xml:space="preserve">129. Кандидаты на получение медицинского заключения 2 класса с ИМТ &gt; 35,0 признаются годными к обучению и работе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w:t>
      </w:r>
    </w:p>
    <w:p>
      <w:pPr>
        <w:pStyle w:val="0"/>
        <w:spacing w:before="200" w:line-rule="auto"/>
        <w:ind w:firstLine="540"/>
        <w:jc w:val="both"/>
      </w:pPr>
      <w:r>
        <w:rPr>
          <w:sz w:val="20"/>
        </w:rPr>
        <w:t xml:space="preserve">130. При симптоматическом (вторичном) ожирении эндокринного, церебрального генеза оценка годности проводится по основному заболеванию.</w:t>
      </w:r>
    </w:p>
    <w:p>
      <w:pPr>
        <w:pStyle w:val="0"/>
        <w:jc w:val="both"/>
      </w:pPr>
      <w:r>
        <w:rPr>
          <w:sz w:val="20"/>
        </w:rPr>
      </w:r>
    </w:p>
    <w:p>
      <w:pPr>
        <w:pStyle w:val="2"/>
        <w:outlineLvl w:val="2"/>
        <w:jc w:val="center"/>
      </w:pPr>
      <w:r>
        <w:rPr>
          <w:sz w:val="20"/>
        </w:rPr>
        <w:t xml:space="preserve">VI. Гематология (D45 - D47, D50 - D89, E75.2, E80.0, E80.2,</w:t>
      </w:r>
    </w:p>
    <w:p>
      <w:pPr>
        <w:pStyle w:val="2"/>
        <w:jc w:val="center"/>
      </w:pPr>
      <w:r>
        <w:rPr>
          <w:sz w:val="20"/>
        </w:rPr>
        <w:t xml:space="preserve">E83.0, E83.1, M31.1, C81 - C96)</w:t>
      </w:r>
    </w:p>
    <w:p>
      <w:pPr>
        <w:pStyle w:val="0"/>
        <w:jc w:val="both"/>
      </w:pPr>
      <w:r>
        <w:rPr>
          <w:sz w:val="20"/>
        </w:rPr>
      </w:r>
    </w:p>
    <w:p>
      <w:pPr>
        <w:pStyle w:val="0"/>
        <w:ind w:firstLine="540"/>
        <w:jc w:val="both"/>
      </w:pPr>
      <w:r>
        <w:rPr>
          <w:sz w:val="20"/>
        </w:rPr>
        <w:t xml:space="preserve">131. В случае если кандидаты на получение медицинского заключения 2 класса не имеют гематологических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132. После расширенного обследования и консультации врача-гематолога проводится оценка годности кандидатов на получение медицинского заключения 2 класса с наличием следующих гематологических синдромов:</w:t>
      </w:r>
    </w:p>
    <w:p>
      <w:pPr>
        <w:pStyle w:val="0"/>
        <w:spacing w:before="200" w:line-rule="auto"/>
        <w:ind w:firstLine="540"/>
        <w:jc w:val="both"/>
      </w:pPr>
      <w:r>
        <w:rPr>
          <w:sz w:val="20"/>
        </w:rPr>
        <w:t xml:space="preserve">анемический синдром (концентрация гемоглобина менее 120 г/л у женщин и менее 130 г/л у мужчин) при D50 - D59;</w:t>
      </w:r>
    </w:p>
    <w:p>
      <w:pPr>
        <w:pStyle w:val="0"/>
        <w:jc w:val="both"/>
      </w:pPr>
      <w:r>
        <w:rPr>
          <w:sz w:val="20"/>
        </w:rPr>
        <w:t xml:space="preserve">(в ред. </w:t>
      </w:r>
      <w:hyperlink w:history="0" r:id="rId12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нарушения свертываемости крови (наследственные и приобретенные дефициты факторов свертывания крови D66 - D68);</w:t>
      </w:r>
    </w:p>
    <w:p>
      <w:pPr>
        <w:pStyle w:val="0"/>
        <w:spacing w:before="200" w:line-rule="auto"/>
        <w:ind w:firstLine="540"/>
        <w:jc w:val="both"/>
      </w:pPr>
      <w:r>
        <w:rPr>
          <w:sz w:val="20"/>
        </w:rPr>
        <w:t xml:space="preserve">гиперкоагуляционный синдром (наследственные и приобретенные тромбофилии D68.8);</w:t>
      </w:r>
    </w:p>
    <w:p>
      <w:pPr>
        <w:pStyle w:val="0"/>
        <w:spacing w:before="200" w:line-rule="auto"/>
        <w:ind w:firstLine="540"/>
        <w:jc w:val="both"/>
      </w:pPr>
      <w:r>
        <w:rPr>
          <w:sz w:val="20"/>
        </w:rPr>
        <w:t xml:space="preserve">пурпура и другие геморрагические состояния (вторичные тромбоцитопении и идиопатическая тромбоцитопеническая пурпура - D69) - количество тромбоцитов менее 100 x 9/л;</w:t>
      </w:r>
    </w:p>
    <w:p>
      <w:pPr>
        <w:pStyle w:val="0"/>
        <w:spacing w:before="200" w:line-rule="auto"/>
        <w:ind w:firstLine="540"/>
        <w:jc w:val="both"/>
      </w:pPr>
      <w:r>
        <w:rPr>
          <w:sz w:val="20"/>
        </w:rPr>
        <w:t xml:space="preserve">агранулоцитоз (с показателями нейтрофильных лейкоцитов крови </w:t>
      </w:r>
      <w:r>
        <w:rPr>
          <w:position w:val="-7"/>
        </w:rPr>
        <w:drawing>
          <wp:inline distT="0" distB="0" distL="0" distR="0">
            <wp:extent cx="749300" cy="215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r>
        <w:rPr>
          <w:sz w:val="20"/>
        </w:rPr>
        <w:t xml:space="preserve"> и ниже - D70);</w:t>
      </w:r>
    </w:p>
    <w:p>
      <w:pPr>
        <w:pStyle w:val="0"/>
        <w:spacing w:before="200" w:line-rule="auto"/>
        <w:ind w:firstLine="540"/>
        <w:jc w:val="both"/>
      </w:pPr>
      <w:r>
        <w:rPr>
          <w:sz w:val="20"/>
        </w:rPr>
        <w:t xml:space="preserve">новообразования неопределенного и неизвестного характера полицитемии - D45;</w:t>
      </w:r>
    </w:p>
    <w:p>
      <w:pPr>
        <w:pStyle w:val="0"/>
        <w:spacing w:before="200" w:line-rule="auto"/>
        <w:ind w:firstLine="540"/>
        <w:jc w:val="both"/>
      </w:pPr>
      <w:r>
        <w:rPr>
          <w:sz w:val="20"/>
        </w:rPr>
        <w:t xml:space="preserve">впервые выявленные лимфаденопатия и гепатоспленомегалия.</w:t>
      </w:r>
    </w:p>
    <w:p>
      <w:pPr>
        <w:pStyle w:val="0"/>
        <w:spacing w:before="200" w:line-rule="auto"/>
        <w:ind w:firstLine="540"/>
        <w:jc w:val="both"/>
      </w:pPr>
      <w:r>
        <w:rPr>
          <w:sz w:val="20"/>
        </w:rPr>
        <w:t xml:space="preserve">133. При этом вопрос о годности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p>
      <w:pPr>
        <w:pStyle w:val="0"/>
        <w:spacing w:before="200" w:line-rule="auto"/>
        <w:ind w:firstLine="540"/>
        <w:jc w:val="both"/>
      </w:pPr>
      <w:r>
        <w:rPr>
          <w:sz w:val="20"/>
        </w:rPr>
        <w:t xml:space="preserve">134. При наличии у кандидатов на получение медицинского заключения 2 класса злокачественных новообразований лимфоидной, кроветворной и родственных им тканей (C81 - C96), некомпенсированных тяжелой степенью анемии (D60, D61, D46), тяжелой степенью нарушения свертывания крови (D66 - D68), тяжелой степенью пурпура и других геморрагических состояний (D69) они признаются не годными к обучению и работе. Системные заболевания крови являются основанием для принятия решения о негодности к обучению.</w:t>
      </w:r>
    </w:p>
    <w:p>
      <w:pPr>
        <w:pStyle w:val="0"/>
        <w:spacing w:before="200" w:line-rule="auto"/>
        <w:ind w:firstLine="540"/>
        <w:jc w:val="both"/>
      </w:pPr>
      <w:r>
        <w:rPr>
          <w:sz w:val="20"/>
        </w:rPr>
        <w:t xml:space="preserve">135. При новообразованиях лимфоидной, кроветворной и родственных им тканей (C81 - C96) после завершения лечения и достижении полной ремиссии без проявления побочных эффектов лечения (кардиотоксичность, нейротоксичность) при полной и стабильной компенсации функций организма, имеющих значение для безопасности полетов, выносится решение о допуске к работе с ограничением OML/TML.</w:t>
      </w:r>
    </w:p>
    <w:p>
      <w:pPr>
        <w:pStyle w:val="0"/>
        <w:spacing w:before="200" w:line-rule="auto"/>
        <w:ind w:firstLine="540"/>
        <w:jc w:val="both"/>
      </w:pPr>
      <w:r>
        <w:rPr>
          <w:sz w:val="20"/>
        </w:rPr>
        <w:t xml:space="preserve">136. При наличии заболеваний с высоким риском тромбоэмболических осложнений и инсультов (первичный эритроцитоз (D75), эритремия (D45, C92.7), тромбофилия (D68.8), тромботическая микроангиопатия (M31.1) определяется негодность к работе (обучению).</w:t>
      </w:r>
    </w:p>
    <w:p>
      <w:pPr>
        <w:pStyle w:val="0"/>
        <w:jc w:val="both"/>
      </w:pPr>
      <w:r>
        <w:rPr>
          <w:sz w:val="20"/>
        </w:rPr>
      </w:r>
    </w:p>
    <w:p>
      <w:pPr>
        <w:pStyle w:val="2"/>
        <w:outlineLvl w:val="2"/>
        <w:jc w:val="center"/>
      </w:pPr>
      <w:r>
        <w:rPr>
          <w:sz w:val="20"/>
        </w:rPr>
        <w:t xml:space="preserve">VII. Мочеполовая система (N00 - N99)</w:t>
      </w:r>
    </w:p>
    <w:p>
      <w:pPr>
        <w:pStyle w:val="0"/>
        <w:jc w:val="both"/>
      </w:pPr>
      <w:r>
        <w:rPr>
          <w:sz w:val="20"/>
        </w:rPr>
      </w:r>
    </w:p>
    <w:p>
      <w:pPr>
        <w:pStyle w:val="0"/>
        <w:ind w:firstLine="540"/>
        <w:jc w:val="both"/>
      </w:pPr>
      <w:r>
        <w:rPr>
          <w:sz w:val="20"/>
        </w:rPr>
        <w:t xml:space="preserve">137. Если кандидаты на получение медицинского заключения 2 класса не имеют функциональной или органической патологии мочеполовой системы, препятствующей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138.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сопровождающиеся нарушением функций, болевым синдромом, являются основанием для определения негодности к обучению и работе (N25 - N39). Кандидаты на получение медицинского заключения 2 класса, перенесшие операцию удаления яичка (при брюшной задержке, низведении яичка, эктопии), при умеренном расширении вен семенного канатика (без выраженного конгломерата вен, значительного их увеличения при напряжении брюшного пресса), при головчатой форме гипоспадии признаются годными к обучению и работе.</w:t>
      </w:r>
    </w:p>
    <w:p>
      <w:pPr>
        <w:pStyle w:val="0"/>
        <w:spacing w:before="200" w:line-rule="auto"/>
        <w:ind w:firstLine="540"/>
        <w:jc w:val="both"/>
      </w:pPr>
      <w:r>
        <w:rPr>
          <w:sz w:val="20"/>
        </w:rPr>
        <w:t xml:space="preserve">139. Вопрос о восстановлении на работу после оперативного вмешательства на органах мочеполовой системы рассматривается не ранее чем через месяц после операции в зависимости от ее объема и технологии. Заключение о годности после оперативного лечения водянки яичка, расширения вен семенного канатика, крипторхизма с низведением яичка возможно не ранее чем через 3 недели после операции в зависимости от ее вида и использованной технологии хирургического вмешательства.</w:t>
      </w:r>
    </w:p>
    <w:p>
      <w:pPr>
        <w:pStyle w:val="0"/>
        <w:spacing w:before="200" w:line-rule="auto"/>
        <w:ind w:firstLine="540"/>
        <w:jc w:val="both"/>
      </w:pPr>
      <w:r>
        <w:rPr>
          <w:sz w:val="20"/>
        </w:rPr>
        <w:t xml:space="preserve">140.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(A18.1), пиелонефрит (N11.0), цистит (N30), уретрит (N34), простатит (N41) в фазе активного воспаления, определяют негодность к работе (обучению).</w:t>
      </w:r>
    </w:p>
    <w:p>
      <w:pPr>
        <w:pStyle w:val="0"/>
        <w:spacing w:before="200" w:line-rule="auto"/>
        <w:ind w:firstLine="540"/>
        <w:jc w:val="both"/>
      </w:pPr>
      <w:r>
        <w:rPr>
          <w:sz w:val="20"/>
        </w:rPr>
        <w:t xml:space="preserve">141. Острый гломерулонефрит (N00 - N08) требует лечения в течение 3 - 6 месяцев, после чего решается вопрос о его переходе в хроническую форму.</w:t>
      </w:r>
    </w:p>
    <w:p>
      <w:pPr>
        <w:pStyle w:val="0"/>
        <w:spacing w:before="200" w:line-rule="auto"/>
        <w:ind w:firstLine="540"/>
        <w:jc w:val="both"/>
      </w:pPr>
      <w:r>
        <w:rPr>
          <w:sz w:val="20"/>
        </w:rPr>
        <w:t xml:space="preserve">142. Вопрос о допуске к работе при диагностированном хроническом гломерулонефрите решается на основании выраженности симптоматики.</w:t>
      </w:r>
    </w:p>
    <w:p>
      <w:pPr>
        <w:pStyle w:val="0"/>
        <w:spacing w:before="200" w:line-rule="auto"/>
        <w:ind w:firstLine="540"/>
        <w:jc w:val="both"/>
      </w:pPr>
      <w:r>
        <w:rPr>
          <w:sz w:val="20"/>
        </w:rPr>
        <w:t xml:space="preserve">143. Кандидаты на получение медицинского заключения 2 класса признаются не годными к обучению и работе при наличии плохо контролируемой артериальной гипертензии, протеинурии, достигающей 2 - 3 г/л, при появлении отчетливых признаков почечной недостаточности (креатинин крови 150 - 200 мкмоль/л и более, белок в моче 3 г/л и более).</w:t>
      </w:r>
    </w:p>
    <w:p>
      <w:pPr>
        <w:pStyle w:val="0"/>
        <w:spacing w:before="200" w:line-rule="auto"/>
        <w:ind w:firstLine="540"/>
        <w:jc w:val="both"/>
      </w:pPr>
      <w:r>
        <w:rPr>
          <w:sz w:val="20"/>
        </w:rPr>
        <w:t xml:space="preserve">144. Допуск к работе/полетам выдается на укороченный срок (TML) при условии прохождения кандидатом на получение медицинского заключения 2 класса контрольных осмотров, измерений артериального давления, ежеквартальной сдачи анализов мочи и крови на креатинин в межкомиссионном периоде.</w:t>
      </w:r>
    </w:p>
    <w:p>
      <w:pPr>
        <w:pStyle w:val="0"/>
        <w:spacing w:before="200" w:line-rule="auto"/>
        <w:ind w:firstLine="540"/>
        <w:jc w:val="both"/>
      </w:pPr>
      <w:r>
        <w:rPr>
          <w:sz w:val="20"/>
        </w:rPr>
        <w:t xml:space="preserve">145. Кандидаты на получение медицинского заключения 2 класса с острым пиелонефритом подлежат лечению. Допуск к работе после перенесенного острого пиелонефрита осуществляется после проведения дополнительных исследований с обязательным проведением УЗИ почек, мочевого пузыря, определением креатинина в крови и моче, степени протеинурии.</w:t>
      </w:r>
    </w:p>
    <w:p>
      <w:pPr>
        <w:pStyle w:val="0"/>
        <w:spacing w:before="200" w:line-rule="auto"/>
        <w:ind w:firstLine="540"/>
        <w:jc w:val="both"/>
      </w:pPr>
      <w:r>
        <w:rPr>
          <w:sz w:val="20"/>
        </w:rPr>
        <w:t xml:space="preserve">146. При хроническом пиелонефрите кандидаты на получение медицинского заключения признаются годными к работе при наличии нормальных показателей анализов крови, отсутствии выраженной протеинурии, лейкоцитурии, регулярном врачебном контроле с проведением анализов крови и мочи каждые 3 месяца. Повышение артериального давления до 160/95 мм рт. ст. вне периодов обострения расценивается как дополнительный неблагоприятный синдром. При этом кандидаты на получение медицинского заключения 2 класса признаются не годными к работе.</w:t>
      </w:r>
    </w:p>
    <w:p>
      <w:pPr>
        <w:pStyle w:val="0"/>
        <w:spacing w:before="200" w:line-rule="auto"/>
        <w:ind w:firstLine="540"/>
        <w:jc w:val="both"/>
      </w:pPr>
      <w:r>
        <w:rPr>
          <w:sz w:val="20"/>
        </w:rPr>
        <w:t xml:space="preserve">147. После лечения (консервативного, оперативного) туберкулеза мочеполовых органов допуск к работе возможен при полном клиническом излечении и наличии заключения из противотуберкулезного диспансера о разрешенном допуске к работе.</w:t>
      </w:r>
    </w:p>
    <w:p>
      <w:pPr>
        <w:pStyle w:val="0"/>
        <w:spacing w:before="200" w:line-rule="auto"/>
        <w:ind w:firstLine="540"/>
        <w:jc w:val="both"/>
      </w:pPr>
      <w:r>
        <w:rPr>
          <w:sz w:val="20"/>
        </w:rPr>
        <w:t xml:space="preserve">148. Кандидаты на получение медицинского заключения 2 класса, имеющие единственную почку врожденной или приобретенной этиологии, оцениваются по результатам расширенного урологического обследования в зависимости от состояния функции единственной почки.</w:t>
      </w:r>
    </w:p>
    <w:p>
      <w:pPr>
        <w:pStyle w:val="0"/>
        <w:spacing w:before="200" w:line-rule="auto"/>
        <w:ind w:firstLine="540"/>
        <w:jc w:val="both"/>
      </w:pPr>
      <w:r>
        <w:rPr>
          <w:sz w:val="20"/>
        </w:rPr>
        <w:t xml:space="preserve">149. В случае когда поражение почек носит вторичный характер, освидетельствование проводится с учетом основного заболевания.</w:t>
      </w:r>
    </w:p>
    <w:p>
      <w:pPr>
        <w:pStyle w:val="0"/>
        <w:spacing w:before="200" w:line-rule="auto"/>
        <w:ind w:firstLine="540"/>
        <w:jc w:val="both"/>
      </w:pPr>
      <w:r>
        <w:rPr>
          <w:sz w:val="20"/>
        </w:rPr>
        <w:t xml:space="preserve">150. После лечения по поводу однократного отхождения камня, почечной колики без отхождения камней, повторных приступов почечной колики кандидаты на получение медицинского заключения признаются годными к работе после прохождения внеочередного медицинского освидетельствования при нормальных лабораторных и инструментальных показателях функции почек с ограничением TML в течение 3 лет.</w:t>
      </w:r>
    </w:p>
    <w:p>
      <w:pPr>
        <w:pStyle w:val="0"/>
        <w:spacing w:before="200" w:line-rule="auto"/>
        <w:ind w:firstLine="540"/>
        <w:jc w:val="both"/>
      </w:pPr>
      <w:r>
        <w:rPr>
          <w:sz w:val="20"/>
        </w:rPr>
        <w:t xml:space="preserve">151. При наличии конкрементов в мочевых путях (N20 - N23) выносится заключение о негодности к обучению и работе с рекомендацией оперативного либо консервативного лечения. По окончании хирургического лечения (в том числе после экстракорпоральной литотрипсии) допуск к работе возможен не ранее чем через месяц после вмешательства в зависимости от доступа и вида перенесенной операции при нормальных лабораторных и инструментальных показателях функции почек по результатам контрольного обследования.</w:t>
      </w:r>
    </w:p>
    <w:p>
      <w:pPr>
        <w:pStyle w:val="0"/>
        <w:spacing w:before="200" w:line-rule="auto"/>
        <w:ind w:firstLine="540"/>
        <w:jc w:val="both"/>
      </w:pPr>
      <w:r>
        <w:rPr>
          <w:sz w:val="20"/>
        </w:rPr>
        <w:t xml:space="preserve">152. Вопрос об удалении доброкачественных опухолей половых органов решается после консультации гинеколога (уролога). При аденоме предстательной железы (N40) без дизурических расстройств, если по заключению уролога не показано оперативное лечение, кандидаты на получение медицинского заключения 2 класса признаются годными к обучению и работе.</w:t>
      </w:r>
    </w:p>
    <w:p>
      <w:pPr>
        <w:pStyle w:val="0"/>
        <w:spacing w:before="200" w:line-rule="auto"/>
        <w:ind w:firstLine="540"/>
        <w:jc w:val="both"/>
      </w:pPr>
      <w:r>
        <w:rPr>
          <w:sz w:val="20"/>
        </w:rPr>
        <w:t xml:space="preserve">153. При аденоме предстательной железы (N40), если она осложнилась острой задержкой мочеиспускания, освидетельствование проводится после проведенного оперативного вмешательства при условии, что функция мочевыделительной системы полностью восстановлена.</w:t>
      </w:r>
    </w:p>
    <w:p>
      <w:pPr>
        <w:pStyle w:val="0"/>
        <w:jc w:val="both"/>
      </w:pPr>
      <w:r>
        <w:rPr>
          <w:sz w:val="20"/>
        </w:rPr>
        <w:t xml:space="preserve">(в ред. </w:t>
      </w:r>
      <w:hyperlink w:history="0" r:id="rId13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2"/>
        <w:jc w:val="center"/>
      </w:pPr>
      <w:r>
        <w:rPr>
          <w:sz w:val="20"/>
        </w:rPr>
        <w:t xml:space="preserve">VIII. Инфекционные заболевания (A00 - D99)</w:t>
      </w:r>
    </w:p>
    <w:p>
      <w:pPr>
        <w:pStyle w:val="0"/>
        <w:jc w:val="both"/>
      </w:pPr>
      <w:r>
        <w:rPr>
          <w:sz w:val="20"/>
        </w:rPr>
      </w:r>
    </w:p>
    <w:p>
      <w:pPr>
        <w:pStyle w:val="0"/>
        <w:ind w:firstLine="540"/>
        <w:jc w:val="both"/>
      </w:pPr>
      <w:r>
        <w:rPr>
          <w:sz w:val="20"/>
        </w:rPr>
        <w:t xml:space="preserve">154. В случае если кандидаты на получение медицинского заключения 2 класса не имеют клинических диагнозов каких-либо инфекционных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155. Признание годности ВИЧ-положительных (B20 - B24) кандидатов на получение медицинского заключения с ограничением TML рассматривается для лиц со стабильной, непрогрессирующей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СПИД и СПИД-ассоциированного комплекса является основанием для дисквалификации.</w:t>
      </w:r>
    </w:p>
    <w:p>
      <w:pPr>
        <w:pStyle w:val="0"/>
        <w:jc w:val="both"/>
      </w:pPr>
      <w:r>
        <w:rPr>
          <w:sz w:val="20"/>
        </w:rPr>
        <w:t xml:space="preserve">(в ред. </w:t>
      </w:r>
      <w:hyperlink w:history="0" r:id="rId13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156. При выявлении или подозрении у кандидата на получение медицинского заключения 2 класса инфекций, передающихся преимущественно половым путем (A50 - A64), заразных кожных заболеваний, в том числе микозов (B35), чесотки (B86), подтверждение диагноза и лечение проводятся в специализированном кожно-венерологическом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врача-дерматовенеролога. Кандидаты, страдающие лепрой (A30), признаются не годными к обучению и работе.</w:t>
      </w:r>
    </w:p>
    <w:p>
      <w:pPr>
        <w:pStyle w:val="0"/>
        <w:spacing w:before="200" w:line-rule="auto"/>
        <w:ind w:firstLine="540"/>
        <w:jc w:val="both"/>
      </w:pPr>
      <w:r>
        <w:rPr>
          <w:sz w:val="20"/>
        </w:rPr>
        <w:t xml:space="preserve">157. Хронические инфекционные и паразитарные болезни, выявленные у кандидата на получение медицинского заключения 2 класса, оцениваются по степени нарушения функций органов и систем организма. При этих заболеваниях, сопровождающихся нарушением функций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функций органов кандидат на получение медицинского заключения допускается к работе.</w:t>
      </w:r>
    </w:p>
    <w:p>
      <w:pPr>
        <w:pStyle w:val="0"/>
        <w:spacing w:before="200" w:line-rule="auto"/>
        <w:ind w:firstLine="540"/>
        <w:jc w:val="both"/>
      </w:pPr>
      <w:r>
        <w:rPr>
          <w:sz w:val="20"/>
        </w:rPr>
        <w:t xml:space="preserve">158. Кандидаты на получение медицинского заключения 2 класса с хронической стадией описторхоза (B66) допускаются к выполнению профессиональных обязанностей, однако они находятся под наблюдением врача инфекционного кабинета до снятия с учета.</w:t>
      </w:r>
    </w:p>
    <w:p>
      <w:pPr>
        <w:pStyle w:val="0"/>
        <w:spacing w:before="200" w:line-rule="auto"/>
        <w:ind w:firstLine="540"/>
        <w:jc w:val="both"/>
      </w:pPr>
      <w:r>
        <w:rPr>
          <w:sz w:val="20"/>
        </w:rPr>
        <w:t xml:space="preserve">159. Кандидаты на получение медицинского заключения 2 класса, перенесшие инфекционный гепатит (B15 - B19), геморрагическую лихорадку (A98 - A99), отстраняются от полетов на 3 - 6 месяцев. Восстановление возможно после полного восстановления функций органов и систем организма по результатам обследования.</w:t>
      </w:r>
    </w:p>
    <w:p>
      <w:pPr>
        <w:pStyle w:val="0"/>
        <w:spacing w:before="200" w:line-rule="auto"/>
        <w:ind w:firstLine="540"/>
        <w:jc w:val="both"/>
      </w:pPr>
      <w:r>
        <w:rPr>
          <w:sz w:val="20"/>
        </w:rPr>
        <w:t xml:space="preserve">160. Кандидаты на получение медицинского заключения 2 класса допускаются к авиационно-химическим работам не ранее чем через 12 месяцев после лечения.</w:t>
      </w:r>
    </w:p>
    <w:p>
      <w:pPr>
        <w:pStyle w:val="0"/>
        <w:jc w:val="both"/>
      </w:pPr>
      <w:r>
        <w:rPr>
          <w:sz w:val="20"/>
        </w:rPr>
      </w:r>
    </w:p>
    <w:p>
      <w:pPr>
        <w:pStyle w:val="2"/>
        <w:outlineLvl w:val="2"/>
        <w:jc w:val="center"/>
      </w:pPr>
      <w:r>
        <w:rPr>
          <w:sz w:val="20"/>
        </w:rPr>
        <w:t xml:space="preserve">IX. Акушерство и гинекология (N70 - N77) (N80 - N98)</w:t>
      </w:r>
    </w:p>
    <w:p>
      <w:pPr>
        <w:pStyle w:val="2"/>
        <w:jc w:val="center"/>
      </w:pPr>
      <w:r>
        <w:rPr>
          <w:sz w:val="20"/>
        </w:rPr>
        <w:t xml:space="preserve">(O00 - O99)</w:t>
      </w:r>
    </w:p>
    <w:p>
      <w:pPr>
        <w:pStyle w:val="0"/>
        <w:jc w:val="both"/>
      </w:pPr>
      <w:r>
        <w:rPr>
          <w:sz w:val="20"/>
        </w:rPr>
      </w:r>
    </w:p>
    <w:p>
      <w:pPr>
        <w:pStyle w:val="0"/>
        <w:ind w:firstLine="540"/>
        <w:jc w:val="both"/>
      </w:pPr>
      <w:r>
        <w:rPr>
          <w:sz w:val="20"/>
        </w:rPr>
        <w:t xml:space="preserve">161. В случае если кандидаты на получение медицинского заключения 2 класса не имеют функциональных или структурных гинекологических заболеваний, препятствующих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162. Основаниями для вынесения заключения о негодности к работе (обучению) являются: пороки развития женских половых органов с функциональными нарушениями (N94) (метроррагия, боли); эндометриоз (N80); симптомная миома матки (D25); хронические заболевания женской половой сферы с частыми обострениями (более 3 раз в год); выпадение и опущение половых органов 3 степени (N81); мочеполовые и кишечно-половые свищи (N82); разрывы промежности (O70) с нарушением функции сфинктера заднего прохода.</w:t>
      </w:r>
    </w:p>
    <w:p>
      <w:pPr>
        <w:pStyle w:val="0"/>
        <w:spacing w:before="200" w:line-rule="auto"/>
        <w:ind w:firstLine="540"/>
        <w:jc w:val="both"/>
      </w:pPr>
      <w:r>
        <w:rPr>
          <w:sz w:val="20"/>
        </w:rPr>
        <w:t xml:space="preserve">163. Лечение острого периода болезней шейки матки (N86 - N88) (эрозия, эндоцервицит, эрозированный эктропион, дисплазии) предполагает отстранение от полетов на срок от 3 недель до 3 месяцев. Кистозные образования женской половой сферы размером более 5 см подлежат оперативному лечению. Вопрос о возобновлении медицинского заключения после хирургического лечения заболеваний женской половой сферы рассматривается при лапароскопической операции - через 4 - 6 недель после операции, при лапаротомном доступе (без осложнений) - через 2 месяца после операции.</w:t>
      </w:r>
    </w:p>
    <w:p>
      <w:pPr>
        <w:pStyle w:val="0"/>
        <w:spacing w:before="200" w:line-rule="auto"/>
        <w:ind w:firstLine="540"/>
        <w:jc w:val="both"/>
      </w:pPr>
      <w:r>
        <w:rPr>
          <w:sz w:val="20"/>
        </w:rPr>
        <w:t xml:space="preserve">164. Бессимптомная миома матки, эндометриоз, эндометриоидная и фолликуллярная кисты (N83) размером не более 5 см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основанием для дисквалификации.</w:t>
      </w:r>
    </w:p>
    <w:p>
      <w:pPr>
        <w:pStyle w:val="0"/>
        <w:spacing w:before="200" w:line-rule="auto"/>
        <w:ind w:firstLine="540"/>
        <w:jc w:val="both"/>
      </w:pPr>
      <w:r>
        <w:rPr>
          <w:sz w:val="20"/>
        </w:rPr>
        <w:t xml:space="preserve">165. Обладатели медицинского заключения с расстройствами овариально-менструального цикла подлежат обследованию и лечению без отстранения от работы.</w:t>
      </w:r>
    </w:p>
    <w:p>
      <w:pPr>
        <w:pStyle w:val="0"/>
        <w:spacing w:before="200" w:line-rule="auto"/>
        <w:ind w:firstLine="540"/>
        <w:jc w:val="both"/>
      </w:pPr>
      <w:r>
        <w:rPr>
          <w:sz w:val="20"/>
        </w:rPr>
        <w:t xml:space="preserve">166. С момента установления беременности (Z33) авиационный персонал признается не годным к летной, диспетчерской работе.</w:t>
      </w:r>
    </w:p>
    <w:p>
      <w:pPr>
        <w:pStyle w:val="0"/>
        <w:spacing w:before="200" w:line-rule="auto"/>
        <w:ind w:firstLine="540"/>
        <w:jc w:val="both"/>
      </w:pPr>
      <w:r>
        <w:rPr>
          <w:sz w:val="20"/>
        </w:rPr>
        <w:t xml:space="preserve">167.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p>
      <w:pPr>
        <w:pStyle w:val="0"/>
        <w:jc w:val="both"/>
      </w:pPr>
      <w:r>
        <w:rPr>
          <w:sz w:val="20"/>
        </w:rPr>
      </w:r>
    </w:p>
    <w:p>
      <w:pPr>
        <w:pStyle w:val="2"/>
        <w:outlineLvl w:val="2"/>
        <w:jc w:val="center"/>
      </w:pPr>
      <w:r>
        <w:rPr>
          <w:sz w:val="20"/>
        </w:rPr>
        <w:t xml:space="preserve">X. Опорно-двигательный аппарат (M00 - M99)</w:t>
      </w:r>
    </w:p>
    <w:p>
      <w:pPr>
        <w:pStyle w:val="0"/>
        <w:jc w:val="both"/>
      </w:pPr>
      <w:r>
        <w:rPr>
          <w:sz w:val="20"/>
        </w:rPr>
      </w:r>
    </w:p>
    <w:p>
      <w:pPr>
        <w:pStyle w:val="0"/>
        <w:ind w:firstLine="540"/>
        <w:jc w:val="both"/>
      </w:pPr>
      <w:r>
        <w:rPr>
          <w:sz w:val="20"/>
        </w:rPr>
        <w:t xml:space="preserve">168. В случае если кандидаты на получение медицинского заключения 2 класса не имеют нарушений костно-мышечного аппарата как врожденных, так и приобретенных, препятствующих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169. Физическое развитие кандидата на получение медицинского заключения и соответствие массы тела росту рассчитываются по ИМТ по Кетле при пропорциональном развитии тела. При оценке физического развития обучающихся в авиационном учебном центре учитывается возраст (в период интенсивного развития организма масса тела может отставать от роста), дефицит массы тела менее 25% не расценивается как проявление недостаточного физического развития. Пороки развития, хронические болезни костей, суставов, хрящей, мышц и сухожилий, последствия травм и операций, рубцы после ожогов и обморожений у кандидата на получение медицинского заключения оцениваются в зависимости от степени прогрессирования, локализации, наличия косметического дефекта и имеющихся функциональных нарушений. Прогрессирующие, сопровождающиеся нарушением функции в значительной степени, болевым синдромом, мешающие ношению одежды, обуви, состояния являются основанием для признания негодности к обучению и работе. При дегенеративно-дистрофических процессах в костях позвоночника (M42) (межпозвонковый остеохондроз, спондилоартроз), последствиях травм и операций, рубцах после ожогов (T30) и обморожений с незначительным или умеренным ограничением функций без болевого синдрома, непрогрессирующих, не мешающих ношению одежды и обуви, заключение о годности к обучению и работе выносится с оценкой функции и объема движений в суставах без ограничения или с ограничением OAL, кандидаты на получение медицинского заключения для обучения на пилота не годны к обучению.</w:t>
      </w:r>
    </w:p>
    <w:p>
      <w:pPr>
        <w:pStyle w:val="0"/>
        <w:spacing w:before="200" w:line-rule="auto"/>
        <w:ind w:firstLine="540"/>
        <w:jc w:val="both"/>
      </w:pPr>
      <w:r>
        <w:rPr>
          <w:sz w:val="20"/>
        </w:rPr>
        <w:t xml:space="preserve">170. При инфантилизме (R62) вопрос о годности к обучению решается после консультации эндокринолога.</w:t>
      </w:r>
    </w:p>
    <w:p>
      <w:pPr>
        <w:pStyle w:val="0"/>
        <w:spacing w:before="200" w:line-rule="auto"/>
        <w:ind w:firstLine="540"/>
        <w:jc w:val="both"/>
      </w:pPr>
      <w:r>
        <w:rPr>
          <w:sz w:val="20"/>
        </w:rPr>
        <w:t xml:space="preserve">171. Кандидат на получение медицинского заключения 2 класса имеет достаточный рост в положении сидя, соответствующую длину рук и ног, мышечную силу для безопасного осуществления обязанностей, предусмотренных соответствующим свидетельством. При спорных случаях возможна проверка на летном тренажере с заключением инструктора тренажера о результатах проверки.</w:t>
      </w:r>
    </w:p>
    <w:p>
      <w:pPr>
        <w:pStyle w:val="0"/>
        <w:spacing w:before="200" w:line-rule="auto"/>
        <w:ind w:firstLine="540"/>
        <w:jc w:val="both"/>
      </w:pPr>
      <w:r>
        <w:rPr>
          <w:sz w:val="20"/>
        </w:rPr>
        <w:t xml:space="preserve">172. Оценка годности при дефектах кисти, стопы (пороки развития, последствия травмы, хирургического вмешательства) определяется степенью функциональной сохранности, при необходимости - после проверки на тренажере (с заключением инструктора тренажера о результатах проверки).</w:t>
      </w:r>
    </w:p>
    <w:p>
      <w:pPr>
        <w:pStyle w:val="0"/>
        <w:spacing w:before="200" w:line-rule="auto"/>
        <w:ind w:firstLine="540"/>
        <w:jc w:val="both"/>
      </w:pPr>
      <w:r>
        <w:rPr>
          <w:sz w:val="20"/>
        </w:rPr>
        <w:t xml:space="preserve">173. Негодность к работе (обучению) определяют отсутствие стопы, врожденная или приобретенная патология стопы (Q72, Z89), нарушающая ее функцию и затрудняющая ходьбу.</w:t>
      </w:r>
    </w:p>
    <w:p>
      <w:pPr>
        <w:pStyle w:val="0"/>
        <w:spacing w:before="200" w:line-rule="auto"/>
        <w:ind w:firstLine="540"/>
        <w:jc w:val="both"/>
      </w:pPr>
      <w:r>
        <w:rPr>
          <w:sz w:val="20"/>
        </w:rPr>
        <w:t xml:space="preserve">174. Плоскостопие (Q66) без явлений выраженного остеоартроза и с сохранностью функций стопы не является основанием для вынесения заключения о негодности к обучению и работе.</w:t>
      </w:r>
    </w:p>
    <w:p>
      <w:pPr>
        <w:pStyle w:val="0"/>
        <w:spacing w:before="200" w:line-rule="auto"/>
        <w:ind w:firstLine="540"/>
        <w:jc w:val="both"/>
      </w:pPr>
      <w:r>
        <w:rPr>
          <w:sz w:val="20"/>
        </w:rPr>
        <w:t xml:space="preserve">175. После операции на мышцах, сухожилиях, связках, костях и суставах годность к работе (обучению) определяется после восстановления функций. Допустимо укорочение руки или ноги в результате операции (травмы) не более чем на 2 см. При выраженных послеоперационных, посттравматических дефектах функциональная состоятельность оценивается по результатам проверки на тренажере на основании заключения инструктора тренажера о результатах тестирования (оценивается способность легко доставать все органы управления и эффективно работать с ними).</w:t>
      </w:r>
    </w:p>
    <w:p>
      <w:pPr>
        <w:pStyle w:val="0"/>
        <w:spacing w:before="200" w:line-rule="auto"/>
        <w:ind w:firstLine="540"/>
        <w:jc w:val="both"/>
      </w:pPr>
      <w:r>
        <w:rPr>
          <w:sz w:val="20"/>
        </w:rPr>
        <w:t xml:space="preserve">176. В случае отказа от операции при показаниях к оперативному лечению кандидаты на получение медицинского заключения 2 класса признаются не годными к обучению и работе.</w:t>
      </w:r>
    </w:p>
    <w:p>
      <w:pPr>
        <w:pStyle w:val="0"/>
        <w:spacing w:before="200" w:line-rule="auto"/>
        <w:ind w:firstLine="540"/>
        <w:jc w:val="both"/>
      </w:pPr>
      <w:r>
        <w:rPr>
          <w:sz w:val="20"/>
        </w:rPr>
        <w:t xml:space="preserve">177. Применение различного рода фиксаторов при остеосинтезе и операциях по протезированию с благоприятным послеоперационным течением, достаточной функциональной состоятельностью по данным анамнеза, осмотра, контрольного рентгенологического исследования, заключению травматолога-ортопеда не является основанием для вынесения заключения о негодности к обучению и работе. После операций по протезированию суставов рассмотрение вопроса о годности возможно не ранее чем через 6 месяцев после хирургического вмешательства.</w:t>
      </w:r>
    </w:p>
    <w:p>
      <w:pPr>
        <w:pStyle w:val="0"/>
        <w:spacing w:before="200" w:line-rule="auto"/>
        <w:ind w:firstLine="540"/>
        <w:jc w:val="both"/>
      </w:pPr>
      <w:r>
        <w:rPr>
          <w:sz w:val="20"/>
        </w:rPr>
        <w:t xml:space="preserve">178. При остеомиелите (M86) при наличии секвестральных полостей, свищей кандидаты на получение медицинского заключения 2 класса не годны к обучению и работе, подлежат лечению (консервативному и/или хирургическому).</w:t>
      </w:r>
    </w:p>
    <w:p>
      <w:pPr>
        <w:pStyle w:val="0"/>
        <w:spacing w:before="200" w:line-rule="auto"/>
        <w:ind w:firstLine="540"/>
        <w:jc w:val="both"/>
      </w:pPr>
      <w:r>
        <w:rPr>
          <w:sz w:val="20"/>
        </w:rPr>
        <w:t xml:space="preserve">179. Морфологические изменения в позвоночнике в виде разрастания краев позвонков, единичных шиловидных разрастаний на них, уплотнение продольной связки, обнаруженные рентгенологически, но без клинических проявлений, не являются основаниями для вынесения заключения о негодности.</w:t>
      </w:r>
    </w:p>
    <w:p>
      <w:pPr>
        <w:pStyle w:val="0"/>
        <w:spacing w:before="200" w:line-rule="auto"/>
        <w:ind w:firstLine="540"/>
        <w:jc w:val="both"/>
      </w:pPr>
      <w:r>
        <w:rPr>
          <w:sz w:val="20"/>
        </w:rPr>
        <w:t xml:space="preserve">180. После патологического перелома тел позвонков (независимо от фазы процесса и функционального состояния)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181. При переломе тел позвонков (S22, S32) с подвывихом, при туберкулезе (M49.0) позвоночника (независимо от фазы процесса и состояния функции) выносится заключение о негодности к обучению и работе. После компрессионного перелома тел одного или двух позвонков освидетельствование проводится не ранее чем через 12 месяцев после травмы. При компрессионном переломе тел позвонков при условии полного восстановления функций допускается освидетельствование после успешного оперативного лечения через 6 месяцев, после чрескожной вертебропластики - через 2 месяца.</w:t>
      </w:r>
    </w:p>
    <w:p>
      <w:pPr>
        <w:pStyle w:val="0"/>
        <w:spacing w:before="200" w:line-rule="auto"/>
        <w:ind w:firstLine="540"/>
        <w:jc w:val="both"/>
      </w:pPr>
      <w:r>
        <w:rPr>
          <w:sz w:val="20"/>
        </w:rPr>
        <w:t xml:space="preserve">182. В случаях перелома поперечных, остистых отростков обладатель медицинского заключения допускается к работе (обучению) при восстановлении функций и исчезновении болевого синдрома.</w:t>
      </w:r>
    </w:p>
    <w:p>
      <w:pPr>
        <w:pStyle w:val="0"/>
        <w:spacing w:before="200" w:line-rule="auto"/>
        <w:ind w:firstLine="540"/>
        <w:jc w:val="both"/>
      </w:pPr>
      <w:r>
        <w:rPr>
          <w:sz w:val="20"/>
        </w:rPr>
        <w:t xml:space="preserve">183. При консолидированных переломах костей таза (S32) медицинское освидетельствование проводится не ранее чем через 6 месяцев после травмы.</w:t>
      </w:r>
    </w:p>
    <w:p>
      <w:pPr>
        <w:pStyle w:val="0"/>
        <w:spacing w:before="200" w:line-rule="auto"/>
        <w:ind w:firstLine="540"/>
        <w:jc w:val="both"/>
      </w:pPr>
      <w:r>
        <w:rPr>
          <w:sz w:val="20"/>
        </w:rPr>
        <w:t xml:space="preserve">184. Кандидаты на получение медицинского заключения 2 класса с острыми инфекционными, инфекционно-аллергическими артритами, полиартритами подлежат лечению. Кандидаты на получение медицинского заключения 2 класса с воспалительными, аллергическими, обменными заболеваниями суставов, системными поражениями соединительной ткани (M00 - M03, M05 - M14, M15 - M19)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 годными к обучению и работе.</w:t>
      </w:r>
    </w:p>
    <w:p>
      <w:pPr>
        <w:pStyle w:val="0"/>
        <w:spacing w:before="200" w:line-rule="auto"/>
        <w:ind w:firstLine="540"/>
        <w:jc w:val="both"/>
      </w:pPr>
      <w:r>
        <w:rPr>
          <w:sz w:val="20"/>
        </w:rPr>
        <w:t xml:space="preserve">185. При патологии суставов и системных заболеваниях соединительной ткани в стойкой ремиссии без выраженных нарушений функций органов заключение выносится в зависимости от функционального состояния суставов и вовлеченных органов.</w:t>
      </w:r>
    </w:p>
    <w:p>
      <w:pPr>
        <w:pStyle w:val="0"/>
        <w:jc w:val="both"/>
      </w:pPr>
      <w:r>
        <w:rPr>
          <w:sz w:val="20"/>
        </w:rPr>
        <w:t xml:space="preserve">(в ред. </w:t>
      </w:r>
      <w:hyperlink w:history="0" r:id="rId13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2"/>
        <w:jc w:val="center"/>
      </w:pPr>
      <w:r>
        <w:rPr>
          <w:sz w:val="20"/>
        </w:rPr>
        <w:t xml:space="preserve">XI. Психиатрия (F0 - F99)</w:t>
      </w:r>
    </w:p>
    <w:p>
      <w:pPr>
        <w:pStyle w:val="0"/>
        <w:jc w:val="both"/>
      </w:pPr>
      <w:r>
        <w:rPr>
          <w:sz w:val="20"/>
        </w:rPr>
      </w:r>
    </w:p>
    <w:p>
      <w:pPr>
        <w:pStyle w:val="0"/>
        <w:ind w:firstLine="540"/>
        <w:jc w:val="both"/>
      </w:pPr>
      <w:r>
        <w:rPr>
          <w:sz w:val="20"/>
        </w:rPr>
        <w:t xml:space="preserve">186. Кандидаты на получение медицинского заключения не должны иметь медицинской истории в анамнезе, описывающей наличие каких-либо психиатрических заболеваний либо соответствующих клинических диагнозов о недееспособности, которые могут препятствовать выполнению профессиональных обязанностей, предусмотренных соответствующими свидетельствами, и создавать угрозу безопасности полетов.</w:t>
      </w:r>
    </w:p>
    <w:p>
      <w:pPr>
        <w:pStyle w:val="0"/>
        <w:spacing w:before="200" w:line-rule="auto"/>
        <w:ind w:firstLine="540"/>
        <w:jc w:val="both"/>
      </w:pPr>
      <w:r>
        <w:rPr>
          <w:sz w:val="20"/>
        </w:rPr>
        <w:t xml:space="preserve">187. Кандидаты на получение медицинского заключения 2 класса признаются не годными к обучению и работе без права восстановления со следующими клинически установленными диагнозами (диагноз подтверждается решением врачебной комиссии специализированного учреждения психиатрического профиля после проведенного полного обследования в специализированной психиатрической (наркологической) медицинской организации):</w:t>
      </w:r>
    </w:p>
    <w:p>
      <w:pPr>
        <w:pStyle w:val="0"/>
        <w:spacing w:before="200" w:line-rule="auto"/>
        <w:ind w:firstLine="540"/>
        <w:jc w:val="both"/>
      </w:pPr>
      <w:r>
        <w:rPr>
          <w:sz w:val="20"/>
        </w:rPr>
        <w:t xml:space="preserve">1) органические, включая симптоматические, психические расстройства (F00 - F09);</w:t>
      </w:r>
    </w:p>
    <w:p>
      <w:pPr>
        <w:pStyle w:val="0"/>
        <w:spacing w:before="200" w:line-rule="auto"/>
        <w:ind w:firstLine="540"/>
        <w:jc w:val="both"/>
      </w:pPr>
      <w:r>
        <w:rPr>
          <w:sz w:val="20"/>
        </w:rPr>
        <w:t xml:space="preserve">2) психические расстройства и расстройства поведения, связанные с употреблением психоактивных веществ (F10 - F19);</w:t>
      </w:r>
    </w:p>
    <w:p>
      <w:pPr>
        <w:pStyle w:val="0"/>
        <w:spacing w:before="200" w:line-rule="auto"/>
        <w:ind w:firstLine="540"/>
        <w:jc w:val="both"/>
      </w:pPr>
      <w:r>
        <w:rPr>
          <w:sz w:val="20"/>
        </w:rPr>
        <w:t xml:space="preserve">3) шизофрения, шизотипические и бредовые расстройства (F20 - F29);</w:t>
      </w:r>
    </w:p>
    <w:p>
      <w:pPr>
        <w:pStyle w:val="0"/>
        <w:spacing w:before="200" w:line-rule="auto"/>
        <w:ind w:firstLine="540"/>
        <w:jc w:val="both"/>
      </w:pPr>
      <w:r>
        <w:rPr>
          <w:sz w:val="20"/>
        </w:rPr>
        <w:t xml:space="preserve">4) расстройства настроения (аффективные расстройства) (F30 - 39);</w:t>
      </w:r>
    </w:p>
    <w:p>
      <w:pPr>
        <w:pStyle w:val="0"/>
        <w:spacing w:before="200" w:line-rule="auto"/>
        <w:ind w:firstLine="540"/>
        <w:jc w:val="both"/>
      </w:pPr>
      <w:r>
        <w:rPr>
          <w:sz w:val="20"/>
        </w:rPr>
        <w:t xml:space="preserve">5) невротические, связанные со стрессом и соматоформные расстройства (F40 - F48);</w:t>
      </w:r>
    </w:p>
    <w:p>
      <w:pPr>
        <w:pStyle w:val="0"/>
        <w:spacing w:before="200" w:line-rule="auto"/>
        <w:ind w:firstLine="540"/>
        <w:jc w:val="both"/>
      </w:pPr>
      <w:r>
        <w:rPr>
          <w:sz w:val="20"/>
        </w:rPr>
        <w:t xml:space="preserve">6) расстройства личности и поведения в зрелом возрасте (F60 - F69);</w:t>
      </w:r>
    </w:p>
    <w:p>
      <w:pPr>
        <w:pStyle w:val="0"/>
        <w:spacing w:before="200" w:line-rule="auto"/>
        <w:ind w:firstLine="540"/>
        <w:jc w:val="both"/>
      </w:pPr>
      <w:r>
        <w:rPr>
          <w:sz w:val="20"/>
        </w:rPr>
        <w:t xml:space="preserve">7) умственная отсталость (F70 - F79);</w:t>
      </w:r>
    </w:p>
    <w:p>
      <w:pPr>
        <w:pStyle w:val="0"/>
        <w:spacing w:before="200" w:line-rule="auto"/>
        <w:ind w:firstLine="540"/>
        <w:jc w:val="both"/>
      </w:pPr>
      <w:r>
        <w:rPr>
          <w:sz w:val="20"/>
        </w:rPr>
        <w:t xml:space="preserve">8) расстройства психологического (психического) развития (F80 - F89);</w:t>
      </w:r>
    </w:p>
    <w:p>
      <w:pPr>
        <w:pStyle w:val="0"/>
        <w:spacing w:before="200" w:line-rule="auto"/>
        <w:ind w:firstLine="540"/>
        <w:jc w:val="both"/>
      </w:pPr>
      <w:r>
        <w:rPr>
          <w:sz w:val="20"/>
        </w:rPr>
        <w:t xml:space="preserve">9) эмоциональные расстройства и расстройства поведения, начинающиеся обычно в детском и подростковом возрасте (F90 - F99).</w:t>
      </w:r>
    </w:p>
    <w:p>
      <w:pPr>
        <w:pStyle w:val="0"/>
        <w:spacing w:before="200" w:line-rule="auto"/>
        <w:ind w:firstLine="540"/>
        <w:jc w:val="both"/>
      </w:pPr>
      <w:r>
        <w:rPr>
          <w:sz w:val="20"/>
        </w:rPr>
        <w:t xml:space="preserve">188. Кандидаты на получение медицинского заключения 2 класса после выздоровления и при полной компенсации нервно-психических функций без применения поддерживающей терапии через 4 - 6 месяцев могут освидетельствоваться ЦВЛЭК ГА (с выпиской по месту наблюдения) после обследования в специализированном психиатрическом (наркологическом) учреждении с заключением клинического психолога и врача-психиатра ЦВЛЭК ГА с клинически установленными диагнозами:</w:t>
      </w:r>
    </w:p>
    <w:p>
      <w:pPr>
        <w:pStyle w:val="0"/>
        <w:spacing w:before="200" w:line-rule="auto"/>
        <w:ind w:firstLine="540"/>
        <w:jc w:val="both"/>
      </w:pPr>
      <w:r>
        <w:rPr>
          <w:sz w:val="20"/>
        </w:rPr>
        <w:t xml:space="preserve">1) невротические, связанные со стрессом и соматоформные расстройства:</w:t>
      </w:r>
    </w:p>
    <w:p>
      <w:pPr>
        <w:pStyle w:val="0"/>
        <w:spacing w:before="200" w:line-rule="auto"/>
        <w:ind w:firstLine="540"/>
        <w:jc w:val="both"/>
      </w:pPr>
      <w:r>
        <w:rPr>
          <w:sz w:val="20"/>
        </w:rPr>
        <w:t xml:space="preserve">- реакция на тяжелый стресс и нарушения адаптации (F43);</w:t>
      </w:r>
    </w:p>
    <w:p>
      <w:pPr>
        <w:pStyle w:val="0"/>
        <w:spacing w:before="200" w:line-rule="auto"/>
        <w:ind w:firstLine="540"/>
        <w:jc w:val="both"/>
      </w:pPr>
      <w:r>
        <w:rPr>
          <w:sz w:val="20"/>
        </w:rPr>
        <w:t xml:space="preserve">2) поведенческие синдромы, связанные с физиологическими нарушениями и физическими факторами:</w:t>
      </w:r>
    </w:p>
    <w:p>
      <w:pPr>
        <w:pStyle w:val="0"/>
        <w:spacing w:before="200" w:line-rule="auto"/>
        <w:ind w:firstLine="540"/>
        <w:jc w:val="both"/>
      </w:pPr>
      <w:r>
        <w:rPr>
          <w:sz w:val="20"/>
        </w:rPr>
        <w:t xml:space="preserve">- расстройство режима сна-бодрствования неорганической природы (F51.2);</w:t>
      </w:r>
    </w:p>
    <w:p>
      <w:pPr>
        <w:pStyle w:val="0"/>
        <w:spacing w:before="200" w:line-rule="auto"/>
        <w:ind w:firstLine="540"/>
        <w:jc w:val="both"/>
      </w:pPr>
      <w:r>
        <w:rPr>
          <w:sz w:val="20"/>
        </w:rPr>
        <w:t xml:space="preserve">- кошмары (F51.5);</w:t>
      </w:r>
    </w:p>
    <w:p>
      <w:pPr>
        <w:pStyle w:val="0"/>
        <w:spacing w:before="200" w:line-rule="auto"/>
        <w:ind w:firstLine="540"/>
        <w:jc w:val="both"/>
      </w:pPr>
      <w:r>
        <w:rPr>
          <w:sz w:val="20"/>
        </w:rPr>
        <w:t xml:space="preserve">- сексуальные расстройства, не обусловленные органическими нарушениями или болезнями (F52);</w:t>
      </w:r>
    </w:p>
    <w:p>
      <w:pPr>
        <w:pStyle w:val="0"/>
        <w:spacing w:before="200" w:line-rule="auto"/>
        <w:ind w:firstLine="540"/>
        <w:jc w:val="both"/>
      </w:pPr>
      <w:r>
        <w:rPr>
          <w:sz w:val="20"/>
        </w:rPr>
        <w:t xml:space="preserve">- психические и поведенческие расстройства, связанные с послеродовым периодом и не классифицируемые в других разделах (F53);</w:t>
      </w:r>
    </w:p>
    <w:p>
      <w:pPr>
        <w:pStyle w:val="0"/>
        <w:spacing w:before="200" w:line-rule="auto"/>
        <w:ind w:firstLine="540"/>
        <w:jc w:val="both"/>
      </w:pPr>
      <w:r>
        <w:rPr>
          <w:sz w:val="20"/>
        </w:rPr>
        <w:t xml:space="preserve">- психологические и поведенческие факторы, связанные с расстройствами или болезнями, классифицированными в других разделах (F54);</w:t>
      </w:r>
    </w:p>
    <w:p>
      <w:pPr>
        <w:pStyle w:val="0"/>
        <w:spacing w:before="200" w:line-rule="auto"/>
        <w:ind w:firstLine="540"/>
        <w:jc w:val="both"/>
      </w:pPr>
      <w:r>
        <w:rPr>
          <w:sz w:val="20"/>
        </w:rPr>
        <w:t xml:space="preserve">- поведенческие синдромы, связанные с физиологическими нарушениями и физическими факторами, неуточненные (F59).</w:t>
      </w:r>
    </w:p>
    <w:p>
      <w:pPr>
        <w:pStyle w:val="0"/>
        <w:spacing w:before="200" w:line-rule="auto"/>
        <w:ind w:firstLine="540"/>
        <w:jc w:val="both"/>
      </w:pPr>
      <w:r>
        <w:rPr>
          <w:sz w:val="20"/>
        </w:rPr>
        <w:t xml:space="preserve">189. При первичном выявлении (в том числе при проведении предполетного/послеполетного, предсменного/послесменного осмотров) у кандидатов на получение медицинского заключения 2 класса состояния опьянения (алкогольного, наркотического или иного токсического), остаточных явлений такого опьянения,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проводится их внеочередное медицинское освидетельствование.</w:t>
      </w:r>
    </w:p>
    <w:p>
      <w:pPr>
        <w:pStyle w:val="0"/>
        <w:spacing w:before="200" w:line-rule="auto"/>
        <w:ind w:firstLine="540"/>
        <w:jc w:val="both"/>
      </w:pPr>
      <w:r>
        <w:rPr>
          <w:sz w:val="20"/>
        </w:rPr>
        <w:t xml:space="preserve">190. При повторном установлении (в том числе при проведении предполетного/послеполетного, предсменного/послесменного осмотров) факта употребления алкоголя, наркотических средств, психотропных веществ и их метаболитов, новых потенциально опасных психоактивных веществ или одурманивающих веществ или состояния опьянения (алкогольного, наркотического или иного токсического) выносится заключение о негодности к работе (обучению).</w:t>
      </w:r>
    </w:p>
    <w:p>
      <w:pPr>
        <w:pStyle w:val="0"/>
        <w:spacing w:before="200" w:line-rule="auto"/>
        <w:ind w:firstLine="540"/>
        <w:jc w:val="both"/>
      </w:pPr>
      <w:r>
        <w:rPr>
          <w:sz w:val="20"/>
        </w:rPr>
        <w:t xml:space="preserve">191. Отдельные, невыраженные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вынесения заключения о негодности к обучению и работе. Появление неадекватных поведенческих реакций, ранее не отмечаемых у кандидата на получение медицинского заключения,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врача-психиатра ЦВЛЭК ГА. При незначительных отклонениях заключение о годности выносится с учетом профессиональных качеств, опыта работы, качества выполняемой работы.</w:t>
      </w:r>
    </w:p>
    <w:p>
      <w:pPr>
        <w:pStyle w:val="0"/>
        <w:jc w:val="both"/>
      </w:pPr>
      <w:r>
        <w:rPr>
          <w:sz w:val="20"/>
        </w:rPr>
      </w:r>
    </w:p>
    <w:p>
      <w:pPr>
        <w:pStyle w:val="2"/>
        <w:outlineLvl w:val="2"/>
        <w:jc w:val="center"/>
      </w:pPr>
      <w:r>
        <w:rPr>
          <w:sz w:val="20"/>
        </w:rPr>
        <w:t xml:space="preserve">XII. Психология</w:t>
      </w:r>
    </w:p>
    <w:p>
      <w:pPr>
        <w:pStyle w:val="0"/>
        <w:jc w:val="both"/>
      </w:pPr>
      <w:r>
        <w:rPr>
          <w:sz w:val="20"/>
        </w:rPr>
      </w:r>
    </w:p>
    <w:p>
      <w:pPr>
        <w:pStyle w:val="0"/>
        <w:ind w:firstLine="540"/>
        <w:jc w:val="both"/>
      </w:pPr>
      <w:r>
        <w:rPr>
          <w:sz w:val="20"/>
        </w:rPr>
        <w:t xml:space="preserve">192. При психологическом тестировании медицинский психолог ВЛЭК ГА (ЦВЛЭК ГА) оценивает общее психическое состояние обследуемого, темп психической деятельности (признаки истощаемости, быстрого утомления), индивидуально-психологические и личностные особенности, профессиональную мотивацию, а также высшие психические, в том числе когнитивные, функции (концентрация и распределение внимания, вербальные и арифметические способности, объем памяти, ориентация в пространстве, зрительная и моторная координация).</w:t>
      </w:r>
    </w:p>
    <w:p>
      <w:pPr>
        <w:pStyle w:val="0"/>
        <w:jc w:val="both"/>
      </w:pPr>
      <w:r>
        <w:rPr>
          <w:sz w:val="20"/>
        </w:rPr>
        <w:t xml:space="preserve">(п. 192 в ред. </w:t>
      </w:r>
      <w:hyperlink w:history="0" r:id="rId13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193. Заключение медицинского психолога ВЛЭК ГА (ЦВЛЭК ГА) не является экспертным заключением, носит информативно-рекомендательный характер и учитывается неврологом ВЛЭК ГА (ЦВЛЭК ГА) при вынесении медицинского заключения.</w:t>
      </w:r>
    </w:p>
    <w:p>
      <w:pPr>
        <w:pStyle w:val="0"/>
        <w:spacing w:before="200" w:line-rule="auto"/>
        <w:ind w:firstLine="540"/>
        <w:jc w:val="both"/>
      </w:pPr>
      <w:r>
        <w:rPr>
          <w:sz w:val="20"/>
        </w:rPr>
        <w:t xml:space="preserve">194. Стандартное обследование у медицинского психолога ВЛЭК ГА (ЦВЛЭК ГА) состоит из двух частей:</w:t>
      </w:r>
    </w:p>
    <w:p>
      <w:pPr>
        <w:pStyle w:val="0"/>
        <w:spacing w:before="200" w:line-rule="auto"/>
        <w:ind w:firstLine="540"/>
        <w:jc w:val="both"/>
      </w:pPr>
      <w:r>
        <w:rPr>
          <w:sz w:val="20"/>
        </w:rPr>
        <w:t xml:space="preserve">диагностика индивидуально-психологических и личностных особенностей кандидата на получение медицинского заключения;</w:t>
      </w:r>
    </w:p>
    <w:p>
      <w:pPr>
        <w:pStyle w:val="0"/>
        <w:spacing w:before="200" w:line-rule="auto"/>
        <w:ind w:firstLine="540"/>
        <w:jc w:val="both"/>
      </w:pPr>
      <w:r>
        <w:rPr>
          <w:sz w:val="20"/>
        </w:rPr>
        <w:t xml:space="preserve">оценка профессионально важных качеств кандидата на получение медицинского заключения (когнитивные и высшие психические функции).</w:t>
      </w:r>
    </w:p>
    <w:p>
      <w:pPr>
        <w:pStyle w:val="0"/>
        <w:spacing w:before="200" w:line-rule="auto"/>
        <w:ind w:firstLine="540"/>
        <w:jc w:val="both"/>
      </w:pPr>
      <w:r>
        <w:rPr>
          <w:sz w:val="20"/>
        </w:rPr>
        <w:t xml:space="preserve">195. В случае возникновения необходимости уточнения полученных в ходе стандартного обследования результатов медицинский психолог ВЛЭК ГА (ЦВЛЭК ГА) проводит расширенное психологическое обследование, в том числе в индивидуальном варианте, а также с применением дополнительных бланковых или компьютеризированных методик.</w:t>
      </w:r>
    </w:p>
    <w:p>
      <w:pPr>
        <w:pStyle w:val="0"/>
        <w:spacing w:before="200" w:line-rule="auto"/>
        <w:ind w:firstLine="540"/>
        <w:jc w:val="both"/>
      </w:pPr>
      <w:r>
        <w:rPr>
          <w:sz w:val="20"/>
        </w:rPr>
        <w:t xml:space="preserve">196. Наиболее часто основаниями для расширения психологического обследования являются:</w:t>
      </w:r>
    </w:p>
    <w:p>
      <w:pPr>
        <w:pStyle w:val="0"/>
        <w:spacing w:before="200" w:line-rule="auto"/>
        <w:ind w:firstLine="540"/>
        <w:jc w:val="both"/>
      </w:pPr>
      <w:r>
        <w:rPr>
          <w:sz w:val="20"/>
        </w:rPr>
        <w:t xml:space="preserve">1) со стороны индивидуально-психологических и личностных особенностей кандидата на получение медицинского заключения:</w:t>
      </w:r>
    </w:p>
    <w:p>
      <w:pPr>
        <w:pStyle w:val="0"/>
        <w:spacing w:before="200" w:line-rule="auto"/>
        <w:ind w:firstLine="540"/>
        <w:jc w:val="both"/>
      </w:pPr>
      <w:r>
        <w:rPr>
          <w:sz w:val="20"/>
        </w:rPr>
        <w:t xml:space="preserve">- недостоверные результаты по личностным тестам, а также выявление высокой вероятности натренированности кандидата к методикам;</w:t>
      </w:r>
    </w:p>
    <w:p>
      <w:pPr>
        <w:pStyle w:val="0"/>
        <w:spacing w:before="200" w:line-rule="auto"/>
        <w:ind w:firstLine="540"/>
        <w:jc w:val="both"/>
      </w:pPr>
      <w:r>
        <w:rPr>
          <w:sz w:val="20"/>
        </w:rPr>
        <w:t xml:space="preserve">- признаки наличия нервно-психической неустойчивости обследуемого (НПН);</w:t>
      </w:r>
    </w:p>
    <w:p>
      <w:pPr>
        <w:pStyle w:val="0"/>
        <w:spacing w:before="200" w:line-rule="auto"/>
        <w:ind w:firstLine="540"/>
        <w:jc w:val="both"/>
      </w:pPr>
      <w:r>
        <w:rPr>
          <w:sz w:val="20"/>
        </w:rPr>
        <w:t xml:space="preserve">- наличие отрицательной производственной характеристики или характеристики из образовательного учреждения ГА;</w:t>
      </w:r>
    </w:p>
    <w:p>
      <w:pPr>
        <w:pStyle w:val="0"/>
        <w:spacing w:before="200" w:line-rule="auto"/>
        <w:ind w:firstLine="540"/>
        <w:jc w:val="both"/>
      </w:pPr>
      <w:r>
        <w:rPr>
          <w:sz w:val="20"/>
        </w:rPr>
        <w:t xml:space="preserve">- наличие признаков расстройства личности;</w:t>
      </w:r>
    </w:p>
    <w:p>
      <w:pPr>
        <w:pStyle w:val="0"/>
        <w:spacing w:before="200" w:line-rule="auto"/>
        <w:ind w:firstLine="540"/>
        <w:jc w:val="both"/>
      </w:pPr>
      <w:r>
        <w:rPr>
          <w:sz w:val="20"/>
        </w:rPr>
        <w:t xml:space="preserve">- наличие профессионально-неблагоприятных личностных характеристик;</w:t>
      </w:r>
    </w:p>
    <w:p>
      <w:pPr>
        <w:pStyle w:val="0"/>
        <w:spacing w:before="200" w:line-rule="auto"/>
        <w:ind w:firstLine="540"/>
        <w:jc w:val="both"/>
      </w:pPr>
      <w:r>
        <w:rPr>
          <w:sz w:val="20"/>
        </w:rPr>
        <w:t xml:space="preserve">- наличие признаков акцентуации характера;</w:t>
      </w:r>
    </w:p>
    <w:p>
      <w:pPr>
        <w:pStyle w:val="0"/>
        <w:spacing w:before="200" w:line-rule="auto"/>
        <w:ind w:firstLine="540"/>
        <w:jc w:val="both"/>
      </w:pPr>
      <w:r>
        <w:rPr>
          <w:sz w:val="20"/>
        </w:rPr>
        <w:t xml:space="preserve">- присутствие языкового барьера;</w:t>
      </w:r>
    </w:p>
    <w:p>
      <w:pPr>
        <w:pStyle w:val="0"/>
        <w:spacing w:before="200" w:line-rule="auto"/>
        <w:ind w:firstLine="540"/>
        <w:jc w:val="both"/>
      </w:pPr>
      <w:r>
        <w:rPr>
          <w:sz w:val="20"/>
        </w:rPr>
        <w:t xml:space="preserve">- наличие татуировок и шрамов;</w:t>
      </w:r>
    </w:p>
    <w:p>
      <w:pPr>
        <w:pStyle w:val="0"/>
        <w:spacing w:before="200" w:line-rule="auto"/>
        <w:ind w:firstLine="540"/>
        <w:jc w:val="both"/>
      </w:pPr>
      <w:r>
        <w:rPr>
          <w:sz w:val="20"/>
        </w:rPr>
        <w:t xml:space="preserve">2) со стороны оценки профессионально важных качеств кандидата на получение медицинского заключения (когнитивные и высшие психические функции):</w:t>
      </w:r>
    </w:p>
    <w:p>
      <w:pPr>
        <w:pStyle w:val="0"/>
        <w:spacing w:before="200" w:line-rule="auto"/>
        <w:ind w:firstLine="540"/>
        <w:jc w:val="both"/>
      </w:pPr>
      <w:r>
        <w:rPr>
          <w:sz w:val="20"/>
        </w:rPr>
        <w:t xml:space="preserve">- высокая вероятность эффекта тренированности;</w:t>
      </w:r>
    </w:p>
    <w:p>
      <w:pPr>
        <w:pStyle w:val="0"/>
        <w:spacing w:before="200" w:line-rule="auto"/>
        <w:ind w:firstLine="540"/>
        <w:jc w:val="both"/>
      </w:pPr>
      <w:r>
        <w:rPr>
          <w:sz w:val="20"/>
        </w:rPr>
        <w:t xml:space="preserve">- общий балл результатов обследования "ниже среднего" и "низкий" уровни;</w:t>
      </w:r>
    </w:p>
    <w:p>
      <w:pPr>
        <w:pStyle w:val="0"/>
        <w:spacing w:before="200" w:line-rule="auto"/>
        <w:ind w:firstLine="540"/>
        <w:jc w:val="both"/>
      </w:pPr>
      <w:r>
        <w:rPr>
          <w:sz w:val="20"/>
        </w:rPr>
        <w:t xml:space="preserve">- снижение результатов обследования отдельных психических функций.</w:t>
      </w:r>
    </w:p>
    <w:p>
      <w:pPr>
        <w:pStyle w:val="0"/>
        <w:spacing w:before="200" w:line-rule="auto"/>
        <w:ind w:firstLine="540"/>
        <w:jc w:val="both"/>
      </w:pPr>
      <w:r>
        <w:rPr>
          <w:sz w:val="20"/>
        </w:rPr>
        <w:t xml:space="preserve">197. При выявлении у кандидата на получение медицинского заключения 2 класса профессионально неблагоприятных личностных особенностей, не достигающих уровня расстройства личности или выраженной акцентуации личности (характера) медицинский психолог ВЛЭК ГА направляет его в ЦВЛЭК ГА с целью уточнения заключения медицинского психолога.</w:t>
      </w:r>
    </w:p>
    <w:p>
      <w:pPr>
        <w:pStyle w:val="0"/>
        <w:spacing w:before="200" w:line-rule="auto"/>
        <w:ind w:firstLine="540"/>
        <w:jc w:val="both"/>
      </w:pPr>
      <w:r>
        <w:rPr>
          <w:sz w:val="20"/>
        </w:rPr>
        <w:t xml:space="preserve">198. В случае выявления у кандидата признаков нервно-психической неустойчивости, профессионально-неблагоприятных психических состояний, признаков акцентуаций характера, медицинский психолог ВЛЭК ГА (ЦВЛЭК ГА) направляет кандидата на консультацию к врачу-психиатру либо к врачу-психиатру ЦВЛЭК ГА.</w:t>
      </w:r>
    </w:p>
    <w:p>
      <w:pPr>
        <w:pStyle w:val="0"/>
        <w:spacing w:before="200" w:line-rule="auto"/>
        <w:ind w:firstLine="540"/>
        <w:jc w:val="both"/>
      </w:pPr>
      <w:r>
        <w:rPr>
          <w:sz w:val="20"/>
        </w:rPr>
        <w:t xml:space="preserve">199. В случае когда врач-психиатр не выносит диагноз клинического характера, медицинский психолог выносит выявленные особенности в "общий вывод" и рекомендует контроль в динамике.</w:t>
      </w:r>
    </w:p>
    <w:p>
      <w:pPr>
        <w:pStyle w:val="0"/>
        <w:jc w:val="both"/>
      </w:pPr>
      <w:r>
        <w:rPr>
          <w:sz w:val="20"/>
        </w:rPr>
        <w:t xml:space="preserve">(в ред. </w:t>
      </w:r>
      <w:hyperlink w:history="0" r:id="rId13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200. При подтверждении у кандидата на получение медицинского заключения профессионально неблагоприятных личностных особенностей, не достигающих уровня расстройства личности или выраженной акцентуации личности (характера), однако ставящих под угрозу выполнение или препятствующих выполнению профессиональных обязанностей возможны:</w:t>
      </w:r>
    </w:p>
    <w:p>
      <w:pPr>
        <w:pStyle w:val="0"/>
        <w:spacing w:before="200" w:line-rule="auto"/>
        <w:ind w:firstLine="540"/>
        <w:jc w:val="both"/>
      </w:pPr>
      <w:r>
        <w:rPr>
          <w:sz w:val="20"/>
        </w:rPr>
        <w:t xml:space="preserve">вынесение отрицательного заключения с рекомендацией обследования в специализированном стационаре психиатрического профиля с круглосуточным пребыванием;</w:t>
      </w:r>
    </w:p>
    <w:p>
      <w:pPr>
        <w:pStyle w:val="0"/>
        <w:spacing w:before="200" w:line-rule="auto"/>
        <w:ind w:firstLine="540"/>
        <w:jc w:val="both"/>
      </w:pPr>
      <w:r>
        <w:rPr>
          <w:sz w:val="20"/>
        </w:rPr>
        <w:t xml:space="preserve">работа с психотерапевтом по профилю с предоставлением выписки.</w:t>
      </w:r>
    </w:p>
    <w:p>
      <w:pPr>
        <w:pStyle w:val="0"/>
        <w:spacing w:before="200" w:line-rule="auto"/>
        <w:ind w:firstLine="540"/>
        <w:jc w:val="both"/>
      </w:pPr>
      <w:r>
        <w:rPr>
          <w:sz w:val="20"/>
        </w:rPr>
        <w:t xml:space="preserve">201. При восстановлении на летную работу (обучение в профильном учебном заведении гражданской авиации) кандидат на получение медицинского заключения 2 класса обязан представить выписку из амбулаторной карты о пройденном лечении.</w:t>
      </w:r>
    </w:p>
    <w:p>
      <w:pPr>
        <w:pStyle w:val="0"/>
        <w:spacing w:before="200" w:line-rule="auto"/>
        <w:ind w:firstLine="540"/>
        <w:jc w:val="both"/>
      </w:pPr>
      <w:r>
        <w:rPr>
          <w:sz w:val="20"/>
        </w:rPr>
        <w:t xml:space="preserve">202. При выявлении общего низкого уровня основных психических функций (в динамике) медицинскому психологу ВЛЭК ГА следует направить кандидата на консультацию к врачу-неврологу ВЛЭК ГА для дообследования и решения вопроса о его годности к обучению и работе.</w:t>
      </w:r>
    </w:p>
    <w:p>
      <w:pPr>
        <w:pStyle w:val="0"/>
        <w:jc w:val="both"/>
      </w:pPr>
      <w:r>
        <w:rPr>
          <w:sz w:val="20"/>
        </w:rPr>
      </w:r>
    </w:p>
    <w:p>
      <w:pPr>
        <w:pStyle w:val="2"/>
        <w:outlineLvl w:val="2"/>
        <w:jc w:val="center"/>
      </w:pPr>
      <w:r>
        <w:rPr>
          <w:sz w:val="20"/>
        </w:rPr>
        <w:t xml:space="preserve">XIII. Неврология (G00 - G99)</w:t>
      </w:r>
    </w:p>
    <w:p>
      <w:pPr>
        <w:pStyle w:val="0"/>
        <w:jc w:val="both"/>
      </w:pPr>
      <w:r>
        <w:rPr>
          <w:sz w:val="20"/>
        </w:rPr>
      </w:r>
    </w:p>
    <w:p>
      <w:pPr>
        <w:pStyle w:val="0"/>
        <w:ind w:firstLine="540"/>
        <w:jc w:val="both"/>
      </w:pPr>
      <w:r>
        <w:rPr>
          <w:sz w:val="20"/>
        </w:rPr>
        <w:t xml:space="preserve">203. В случае если кандидаты на получение медицинского заключения 2 класса не имеют неврологического заболевания, которое может помешать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jc w:val="both"/>
      </w:pPr>
      <w:r>
        <w:rPr>
          <w:sz w:val="20"/>
        </w:rPr>
      </w:r>
    </w:p>
    <w:p>
      <w:pPr>
        <w:pStyle w:val="2"/>
        <w:outlineLvl w:val="3"/>
        <w:jc w:val="center"/>
      </w:pPr>
      <w:r>
        <w:rPr>
          <w:sz w:val="20"/>
        </w:rPr>
        <w:t xml:space="preserve">Эпилептические приступы и изменения ЭЭГ (G40 - G42)</w:t>
      </w:r>
    </w:p>
    <w:p>
      <w:pPr>
        <w:pStyle w:val="0"/>
        <w:jc w:val="both"/>
      </w:pPr>
      <w:r>
        <w:rPr>
          <w:sz w:val="20"/>
        </w:rPr>
      </w:r>
    </w:p>
    <w:p>
      <w:pPr>
        <w:pStyle w:val="0"/>
        <w:ind w:firstLine="540"/>
        <w:jc w:val="both"/>
      </w:pPr>
      <w:r>
        <w:rPr>
          <w:sz w:val="20"/>
        </w:rPr>
        <w:t xml:space="preserve">204. Кандидаты на получение свидетельства с клиническим диагнозом в анамнезе о наличии эпилепсии, рецидивирующих приступах потерь сознания неуточненного генеза рассматриваются как негодные к работе и обучению.</w:t>
      </w:r>
    </w:p>
    <w:p>
      <w:pPr>
        <w:pStyle w:val="0"/>
        <w:spacing w:before="200" w:line-rule="auto"/>
        <w:ind w:firstLine="540"/>
        <w:jc w:val="both"/>
      </w:pPr>
      <w:r>
        <w:rPr>
          <w:sz w:val="20"/>
        </w:rPr>
        <w:t xml:space="preserve">205. В неврологическом отделении медицинской организации, находящейся в ведении уполномоченного органа, перед проведением оценки на годность к обучению и работе проходят обследование кандидаты на получение медицинского заключения 2 класса с клиническим диагнозом или записью в истории о наличии: эпилепсии без рецидивирующих приступов с 5-летнего возраста; эпилепсии без рецидивирующих приступов и сроком после прекращения лечения более 10 лет; отсутствии изменений электроэнцефалографии, не исключающих факторов риска развития эпилептических приступов и без регистрации фокальных медленных волн, без уточненной причины; прогрессирующей или непрогрессирующей болезни нервной системы; единичного эпизода потери сознания неуточненной этиологии; потери сознания после (головной) черепно-мозговой травмы; проникающей травмы головы с поражением головного мозга; повреждения периферического нерва или спинного мозга. Отсутствие риска рецидива эпилептического приступа без применения лекарственных средств не исключает вынесения заключения о годности по всем классам требований.</w:t>
      </w:r>
    </w:p>
    <w:p>
      <w:pPr>
        <w:pStyle w:val="0"/>
        <w:jc w:val="both"/>
      </w:pPr>
      <w:r>
        <w:rPr>
          <w:sz w:val="20"/>
        </w:rPr>
        <w:t xml:space="preserve">(в ред. </w:t>
      </w:r>
      <w:hyperlink w:history="0" r:id="rId13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206. При выявлении пароксизмальной, эпилептоидной активности и значительно выраженных изменений на ЭЭГ кандидаты на получение медицинского заключения 2 класса признаются не годными к обучению и работе. Кандидаты на получение медицинского заключения 2 класса с впервые выявленной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(ЦНС) признаются не годными к обучению и работе сроком на 3 месяца с последующим расширенным неврологическим обследованием. Стабильность указанных изменений на ЭЭГ после уточнения причины вызываемых изменений с низким риском развития рецидивов потерь сознания не дает оснований для отстранения от работы.</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207. Кандидаты на получение медицинского заключения 2 класса с подтвержденным диагнозом эпилепсии признаются не годными к обучению и работе (G40 - G42).</w:t>
      </w:r>
    </w:p>
    <w:p>
      <w:pPr>
        <w:pStyle w:val="0"/>
        <w:spacing w:before="200" w:line-rule="auto"/>
        <w:ind w:firstLine="540"/>
        <w:jc w:val="both"/>
      </w:pPr>
      <w:r>
        <w:rPr>
          <w:sz w:val="20"/>
        </w:rPr>
        <w:t xml:space="preserve">208. При однократных эпилептических припадках неуточненной этиологии, при симптоматической эпилепсии экспертная оценка зависит от основного заболевания. Сроки наблюдения после перенесенного эпилептического приступа неустановленной этиологии до возврата к повторному рассмотрению вопроса о допуске к обучению и работе - не менее 2 лет.</w:t>
      </w:r>
    </w:p>
    <w:p>
      <w:pPr>
        <w:pStyle w:val="0"/>
        <w:jc w:val="both"/>
      </w:pPr>
      <w:r>
        <w:rPr>
          <w:sz w:val="20"/>
        </w:rPr>
      </w:r>
    </w:p>
    <w:p>
      <w:pPr>
        <w:pStyle w:val="2"/>
        <w:outlineLvl w:val="3"/>
        <w:jc w:val="center"/>
      </w:pPr>
      <w:r>
        <w:rPr>
          <w:sz w:val="20"/>
        </w:rPr>
        <w:t xml:space="preserve">Сосудистые поражения головного мозга (I60; I61; I62; I63;</w:t>
      </w:r>
    </w:p>
    <w:p>
      <w:pPr>
        <w:pStyle w:val="2"/>
        <w:jc w:val="center"/>
      </w:pPr>
      <w:r>
        <w:rPr>
          <w:sz w:val="20"/>
        </w:rPr>
        <w:t xml:space="preserve">I64; I65; I67; I68; I69; G45; G95)</w:t>
      </w:r>
    </w:p>
    <w:p>
      <w:pPr>
        <w:pStyle w:val="0"/>
        <w:jc w:val="both"/>
      </w:pPr>
      <w:r>
        <w:rPr>
          <w:sz w:val="20"/>
        </w:rPr>
      </w:r>
    </w:p>
    <w:p>
      <w:pPr>
        <w:pStyle w:val="0"/>
        <w:ind w:firstLine="540"/>
        <w:jc w:val="both"/>
      </w:pPr>
      <w:r>
        <w:rPr>
          <w:sz w:val="20"/>
        </w:rPr>
        <w:t xml:space="preserve">209. Клинические проявления в виде после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в единичных случаях не исключают возможность выполнения профессиональных обязанностей при отсутствии факторов риска рецидивирования.</w:t>
      </w:r>
    </w:p>
    <w:p>
      <w:pPr>
        <w:pStyle w:val="0"/>
        <w:spacing w:before="200" w:line-rule="auto"/>
        <w:ind w:firstLine="540"/>
        <w:jc w:val="both"/>
      </w:pPr>
      <w:r>
        <w:rPr>
          <w:sz w:val="20"/>
        </w:rPr>
        <w:t xml:space="preserve">210. Сосудистые поражения головного и спинного мозга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риска возникновения острых состояний, влияющих на безопасность полетов.</w:t>
      </w:r>
    </w:p>
    <w:p>
      <w:pPr>
        <w:pStyle w:val="0"/>
        <w:spacing w:before="200" w:line-rule="auto"/>
        <w:ind w:firstLine="540"/>
        <w:jc w:val="both"/>
      </w:pPr>
      <w:r>
        <w:rPr>
          <w:sz w:val="20"/>
        </w:rPr>
        <w:t xml:space="preserve">211. Заключение выносится на основании оценки выраженности неврологических нарушений, степени стенозирования основных артериальных церебральных сосудов, состояния профессионально важных психологических функций, течения заболевания, факторов риска.</w:t>
      </w:r>
    </w:p>
    <w:p>
      <w:pPr>
        <w:pStyle w:val="0"/>
        <w:jc w:val="both"/>
      </w:pPr>
      <w:r>
        <w:rPr>
          <w:sz w:val="20"/>
        </w:rPr>
      </w:r>
    </w:p>
    <w:p>
      <w:pPr>
        <w:pStyle w:val="2"/>
        <w:outlineLvl w:val="3"/>
        <w:jc w:val="center"/>
      </w:pPr>
      <w:r>
        <w:rPr>
          <w:sz w:val="20"/>
        </w:rPr>
        <w:t xml:space="preserve">Экспертиза при сосудистых заболеваниях</w:t>
      </w:r>
    </w:p>
    <w:p>
      <w:pPr>
        <w:pStyle w:val="0"/>
        <w:jc w:val="both"/>
      </w:pPr>
      <w:r>
        <w:rPr>
          <w:sz w:val="20"/>
        </w:rPr>
      </w:r>
    </w:p>
    <w:p>
      <w:pPr>
        <w:pStyle w:val="0"/>
        <w:ind w:firstLine="540"/>
        <w:jc w:val="both"/>
      </w:pPr>
      <w:r>
        <w:rPr>
          <w:sz w:val="20"/>
        </w:rPr>
        <w:t xml:space="preserve">212. Легкая рассеянная микросимптоматика в неврологическом статусе и возраст не являются основаниями для вынесения диагноза церебрального атеросклероза, предусматривающего негодность к обучению и работе, кроме случаев их выявления у абитуриентов, которые признаются не годными к обучению (I67.2).</w:t>
      </w:r>
    </w:p>
    <w:p>
      <w:pPr>
        <w:pStyle w:val="0"/>
        <w:spacing w:before="200" w:line-rule="auto"/>
        <w:ind w:firstLine="540"/>
        <w:jc w:val="both"/>
      </w:pPr>
      <w:r>
        <w:rPr>
          <w:sz w:val="20"/>
        </w:rPr>
        <w:t xml:space="preserve">213. При выявлении стабильных стенозов брахиоцефальных сосудов (БЦС) небольших и умеренных размеров (до 50%) и отсутствии изменений в неврологическом статусе, когнитивной сфере и по данным нейровизуализации, исключающих органические поражения головного мозга (последствия инсульта, проявления дисциркуляторной энцефалопатии и другие (I67.2), кандидаты на получение медицинского заключения 2 класса признаются годными к профессиональной деятельности (кроме абитуриентов, которые признаются не годными к обучению).</w:t>
      </w:r>
    </w:p>
    <w:p>
      <w:pPr>
        <w:pStyle w:val="0"/>
        <w:spacing w:before="200" w:line-rule="auto"/>
        <w:ind w:firstLine="540"/>
        <w:jc w:val="both"/>
      </w:pPr>
      <w:r>
        <w:rPr>
          <w:sz w:val="20"/>
        </w:rPr>
        <w:t xml:space="preserve">214. При обнаружении скрыто протекающего стеноза (50% и более) (I65 - I67.1), выявлении эмбологенной нестабильной а/с бляшки принимается решение о негодности к обучению и работе.</w:t>
      </w:r>
    </w:p>
    <w:p>
      <w:pPr>
        <w:pStyle w:val="0"/>
        <w:spacing w:before="200" w:line-rule="auto"/>
        <w:ind w:firstLine="540"/>
        <w:jc w:val="both"/>
      </w:pPr>
      <w:r>
        <w:rPr>
          <w:sz w:val="20"/>
        </w:rPr>
        <w:t xml:space="preserve">215. При наличии необходимости оперативной коррекции выявленных атеросклеротических стенозов выносится решение о негодности по всем классам требований. Вопрос о возврате к экспертному решению о допуске к работе возможен после 12 месяцев наблюдения после обследования и оценки эффективности лечения в неврологическом отделении медицинской организации, находящейся в ведении уполномоченного органа, с вынесением официального медицинского заключения.</w:t>
      </w:r>
    </w:p>
    <w:p>
      <w:pPr>
        <w:pStyle w:val="0"/>
        <w:jc w:val="both"/>
      </w:pPr>
      <w:r>
        <w:rPr>
          <w:sz w:val="20"/>
        </w:rPr>
        <w:t xml:space="preserve">(в ред. </w:t>
      </w:r>
      <w:hyperlink w:history="0" r:id="rId13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216. В случае диагностики лакунарного ишемического инсульта (ИИ) для рассмотрения возможности выдачи положительного медицинского решения требуется период наблюдения без регистрации рецидивирующего течения, продолжительность которого зависит от механизма развития заболевания и сопутствующих факторов риска (12 месяцев). Принятие положительного решения о допуске возможно после обследования в стационаре медицинской организации, находящейся в ведении уполномоченного органа, осмотра неврологом ЦВЛЭК ГА (169).</w:t>
      </w:r>
    </w:p>
    <w:p>
      <w:pPr>
        <w:pStyle w:val="0"/>
        <w:jc w:val="both"/>
      </w:pPr>
      <w:r>
        <w:rPr>
          <w:sz w:val="20"/>
        </w:rPr>
        <w:t xml:space="preserve">(в ред. </w:t>
      </w:r>
      <w:hyperlink w:history="0" r:id="rId13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217. После инсульта у молодых людей (открытое овальное окно после хирургического лечения) при отсутствии осложнений со стороны когнитивной сферы и поражений головного мозга возможно положительное решение. В остальных случаях принимается решение о негодности к обучению и работе без права восстановления.</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218. В случае геморрагического инсульта (ГИ) (I60 - I69.2) назначается период наблюдения до 2 лет с последующей оценкой сохранности функций центральной и периферической нервной системы. При наличии факторов риска и сопутствующих заболеваний, приводящих к рецидивирующему течению, выносится заключение о негодности к обучению и работе без права восстановления в последующем по всем классам требований.</w:t>
      </w:r>
    </w:p>
    <w:p>
      <w:pPr>
        <w:pStyle w:val="0"/>
        <w:spacing w:before="200" w:line-rule="auto"/>
        <w:ind w:firstLine="540"/>
        <w:jc w:val="both"/>
      </w:pPr>
      <w:r>
        <w:rPr>
          <w:sz w:val="20"/>
        </w:rPr>
        <w:t xml:space="preserve">219. Субарахноидальное кровоизлияние (САК) или изменения сосудистой системы головного мозга (артериальные аневризмы церебральных сосудов (I60); сосудистые мальформации ЦНС (I67.1): артерио-венозные мальформации, каверномы (D18.0), артериовенозные фистулы; аномалии сосудистой системы мозга: болезнь Нисимото, расслаивающаяся аневризма церебральных сосудов (I67.0), вторичные причины: артериальная гипертензия; васкулиты (I73.1; M30.1 - M35.2); болезни крови; нарушение свертывающей системы на фоне приема антикоагулянтов, дезагрегантов и других препаратов, угрожающие развитию САК) являются основанием для принятия решения о негодности к обучению и работе (D68.8 - D75.2; D47.3).</w:t>
      </w:r>
    </w:p>
    <w:p>
      <w:pPr>
        <w:pStyle w:val="0"/>
        <w:spacing w:before="200" w:line-rule="auto"/>
        <w:ind w:firstLine="540"/>
        <w:jc w:val="both"/>
      </w:pPr>
      <w:r>
        <w:rPr>
          <w:sz w:val="20"/>
        </w:rPr>
        <w:t xml:space="preserve">220. После хирургической коррекции аневризм сосудов головного мозга при отсутствии признаков последствий кровоизлияний в виде очаговой неврологической симптоматики, судорожных припадков и нарушений когнитивных функций через 12 месяцев возможно рассматривать вопрос о продлении профессиональной деятельности после стационарного обследования в неврологическом отделении медицинской организации, находящейся в ведении уполномоченного органа, неврологом ЦВЛЭК ГА.</w:t>
      </w:r>
    </w:p>
    <w:p>
      <w:pPr>
        <w:pStyle w:val="0"/>
        <w:jc w:val="both"/>
      </w:pPr>
      <w:r>
        <w:rPr>
          <w:sz w:val="20"/>
        </w:rPr>
        <w:t xml:space="preserve">(в ред. </w:t>
      </w:r>
      <w:hyperlink w:history="0" r:id="rId13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Абитуриенты признаются не годными к обучению без права восстановления.</w:t>
      </w:r>
    </w:p>
    <w:p>
      <w:pPr>
        <w:pStyle w:val="0"/>
        <w:spacing w:before="200" w:line-rule="auto"/>
        <w:ind w:firstLine="540"/>
        <w:jc w:val="both"/>
      </w:pPr>
      <w:r>
        <w:rPr>
          <w:sz w:val="20"/>
        </w:rPr>
        <w:t xml:space="preserve">221. Кандидаты на получение медицинского заключения с органическими заболеваниями нервной системы (опухоли (C69 - C72:C47), сирингомиелия (G95.0), рассеянный склероз (G35); болезнь Паркинсона (G20; G21)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(A80 - A89; B0 - B24), ликвородинамическими нарушениями, судорожными припадками), заболеваниями нервно-мышечного аппарата (G12; G12.9) (миастения (G70 - G73), миопатия G73.4; G73.7), миотония (G71.1), миоплегия) признаются не годными к обучению и работе при наличии функциональных нарушений, препятствующих выполнению профессиональных обязанностей, и с учетом степени интенсивности прогрессирования заболевания. В каждом случае оценка профессиональной годности проводится индивидуально.</w:t>
      </w:r>
    </w:p>
    <w:p>
      <w:pPr>
        <w:pStyle w:val="0"/>
        <w:spacing w:before="200" w:line-rule="auto"/>
        <w:ind w:firstLine="540"/>
        <w:jc w:val="both"/>
      </w:pPr>
      <w:r>
        <w:rPr>
          <w:sz w:val="20"/>
        </w:rPr>
        <w:t xml:space="preserve">222. Кандидаты на получение медицинского заключения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а также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наблюдения по результатам расширенного неврологического обследования. Вынесение экспертного решения о допуске к обучению и работе возможно при медленно прогредиентном течении и изменениях по данным клинического и инструментального исследований с учетом отсутствия возникновения угрозы безопасности полетов и управлению воздушным движением.</w:t>
      </w:r>
    </w:p>
    <w:p>
      <w:pPr>
        <w:pStyle w:val="0"/>
        <w:spacing w:before="200" w:line-rule="auto"/>
        <w:ind w:firstLine="540"/>
        <w:jc w:val="both"/>
      </w:pPr>
      <w:r>
        <w:rPr>
          <w:sz w:val="20"/>
        </w:rPr>
        <w:t xml:space="preserve">В случае функциональной сохранности деятельности ЦНС и периферической НС выносится решение о возможном допуске по всем классам требований. Абитуриенты признаются не годными к обучению.</w:t>
      </w:r>
    </w:p>
    <w:p>
      <w:pPr>
        <w:pStyle w:val="0"/>
        <w:spacing w:before="200" w:line-rule="auto"/>
        <w:ind w:firstLine="540"/>
        <w:jc w:val="both"/>
      </w:pPr>
      <w:r>
        <w:rPr>
          <w:sz w:val="20"/>
        </w:rPr>
        <w:t xml:space="preserve">223. Доброкачественные внутричерепные образования после полного успешного удаления внутримозгового образования, после 12 месяцев наблюдения могут претендовать на восстановление в профессии. С учетом клинических проявлений при отсутствии поражений соседних органов и систем (зрительного, слухового анализатора, гормональных нарушений и других), при отсутствии судорожных припадков после расширенного неврологического обследования возможен допуск к профессиональной деятельности (D32.0; D36:D35.2; D35.4). В некоторых случаях при обнаружении доброкачественного образования небольших размеров (невринома 8 нерва; киста эпифиза; микроаденома гипофиза, менингиома и других) без нарушения функций при отсутствии судорожных приступов, гормональных нарушений, отсутствии нарушений ликвородинамики позволяется разрешить выдачу положительного медицинского заключения без хирургического лечения (кроме абитуриентов и студентов, которые признаются не годными к обучению).</w:t>
      </w:r>
    </w:p>
    <w:p>
      <w:pPr>
        <w:pStyle w:val="0"/>
        <w:spacing w:before="200" w:line-rule="auto"/>
        <w:ind w:firstLine="540"/>
        <w:jc w:val="both"/>
      </w:pPr>
      <w:r>
        <w:rPr>
          <w:sz w:val="20"/>
        </w:rPr>
        <w:t xml:space="preserve">224. Наличие злокачественного внутричерепного образования является основанием для отказа в выдаче медицинского заключения любого класса (C69 - C72; C47).</w:t>
      </w:r>
    </w:p>
    <w:p>
      <w:pPr>
        <w:pStyle w:val="0"/>
        <w:spacing w:before="200" w:line-rule="auto"/>
        <w:ind w:firstLine="540"/>
        <w:jc w:val="both"/>
      </w:pPr>
      <w:r>
        <w:rPr>
          <w:sz w:val="20"/>
        </w:rPr>
        <w:t xml:space="preserve">225. Кандидаты на получение медицинского заключения 2 класса, перенесшие инфекционное или интоксикационное заболевание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могут быть допущены к работе. Вопрос о восстановлении на летную работу решается: после гриппозного энцефалита (G00.0) не ранее чем через 1 - 2 года; острого энцефаломиелита (A85) - не ранее чем 2 года; острого клещевого энцефалита (A84) - не ранее чем 3 года.</w:t>
      </w:r>
    </w:p>
    <w:p>
      <w:pPr>
        <w:pStyle w:val="0"/>
        <w:spacing w:before="200" w:line-rule="auto"/>
        <w:ind w:firstLine="540"/>
        <w:jc w:val="both"/>
      </w:pPr>
      <w:r>
        <w:rPr>
          <w:sz w:val="20"/>
        </w:rPr>
        <w:t xml:space="preserve">226. Кандидаты на получение медицинского заключения 2 класса, переболевшие эпидемическим цереброспинальным менингитом, признаются не годными к обучению и работе с правом восстановления через 1 год.</w:t>
      </w:r>
    </w:p>
    <w:p>
      <w:pPr>
        <w:pStyle w:val="0"/>
        <w:spacing w:before="200" w:line-rule="auto"/>
        <w:ind w:firstLine="540"/>
        <w:jc w:val="both"/>
      </w:pPr>
      <w:r>
        <w:rPr>
          <w:sz w:val="20"/>
        </w:rPr>
        <w:t xml:space="preserve">227. Эссенциальный тремор (G25.0) не является дисквалифицирующим фактором, кроме случаев, ведущих к значительным функциональным нарушениям, препятствующим выполнению профессиональной деятельности.</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228. Признаются не годными к обучению и работе без права признания годности в последующем кандидаты на получение медицинского заключения 2 класса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центральной нервной системы (ЦНС), нарушением психики, гипертензионным или судорожным синдромами; последствия травмы спинного мозга с двигательными, чувствительными нарушениями или тазовыми расстройствами (S02.0; S06.1 - S06.9; S14.1).</w:t>
      </w:r>
    </w:p>
    <w:p>
      <w:pPr>
        <w:pStyle w:val="0"/>
        <w:spacing w:before="200" w:line-rule="auto"/>
        <w:ind w:firstLine="540"/>
        <w:jc w:val="both"/>
      </w:pPr>
      <w:r>
        <w:rPr>
          <w:sz w:val="20"/>
        </w:rPr>
        <w:t xml:space="preserve">229. Медицинское освидетельствование кандидатов на получение медицинского заключения,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один год после травмы с ограничением OML в течение 3 лет (S06.2; S06.3), перенесших сотрясение или легкую степень ушиба головного мозга - через 3 - 6 месяцев после травмы (S06.0).</w:t>
      </w:r>
    </w:p>
    <w:p>
      <w:pPr>
        <w:pStyle w:val="0"/>
        <w:spacing w:before="200" w:line-rule="auto"/>
        <w:ind w:firstLine="540"/>
        <w:jc w:val="both"/>
      </w:pPr>
      <w:r>
        <w:rPr>
          <w:sz w:val="20"/>
        </w:rPr>
        <w:t xml:space="preserve">230. При вынесении медицинского заключения учитывается длительность периода измененного сознания и амнезии. Прогнозируя возможность развития поздней посттравматической эпилепсии, кроме характера и степени тяжести травмы, следует учитывать и другие факторы риска (включая психологические и психические изменения). Оценка проводится с учетом анамнеза по результатам расширенного обследования, включая психологическое тестирование.</w:t>
      </w:r>
    </w:p>
    <w:p>
      <w:pPr>
        <w:pStyle w:val="0"/>
        <w:spacing w:before="200" w:line-rule="auto"/>
        <w:ind w:firstLine="540"/>
        <w:jc w:val="both"/>
      </w:pPr>
      <w:r>
        <w:rPr>
          <w:sz w:val="20"/>
        </w:rPr>
        <w:t xml:space="preserve">231.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обучению и работе (G90; M89.0; G99; I73.0; E22.0 - E22.2).</w:t>
      </w:r>
    </w:p>
    <w:p>
      <w:pPr>
        <w:pStyle w:val="0"/>
        <w:spacing w:before="200" w:line-rule="auto"/>
        <w:ind w:firstLine="540"/>
        <w:jc w:val="both"/>
      </w:pPr>
      <w:r>
        <w:rPr>
          <w:sz w:val="20"/>
        </w:rPr>
        <w:t xml:space="preserve">232. Годность к работе лиц с дисфункцией конституционально-наследственного генеза, а также дисфункцией, возникшей на фоне гормональной перестройки или после перенесенной соматической патологии, возможна в стадии стойкой ремиссии на момент обследования (2 - 3 месяца после излечения основного заболевания) (G99; G43).</w:t>
      </w:r>
    </w:p>
    <w:p>
      <w:pPr>
        <w:pStyle w:val="0"/>
        <w:spacing w:before="200" w:line-rule="auto"/>
        <w:ind w:firstLine="540"/>
        <w:jc w:val="both"/>
      </w:pPr>
      <w:r>
        <w:rPr>
          <w:sz w:val="20"/>
        </w:rPr>
        <w:t xml:space="preserve">233. Заболевания и повреждения периферической нервной системы - хронические с частыми обострениями (2 и более раз в наблюдаемом году), при наличии расстройства движения, чувствительности, трофики и стойкого болевого синдрома являются поводом для вынесения решения о негодности к обучению и работе (M54 - M54.9; G61; G62; G63* (E10 - E14+); G63.3; G63.8; G63.0).</w:t>
      </w:r>
    </w:p>
    <w:p>
      <w:pPr>
        <w:pStyle w:val="0"/>
        <w:spacing w:before="200" w:line-rule="auto"/>
        <w:ind w:firstLine="540"/>
        <w:jc w:val="both"/>
      </w:pPr>
      <w:r>
        <w:rPr>
          <w:sz w:val="20"/>
        </w:rPr>
        <w:t xml:space="preserve">234. Кандидаты на получение медицинского заключения 2 класса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 годными к обучению.</w:t>
      </w:r>
    </w:p>
    <w:p>
      <w:pPr>
        <w:pStyle w:val="0"/>
        <w:spacing w:before="200" w:line-rule="auto"/>
        <w:ind w:firstLine="540"/>
        <w:jc w:val="both"/>
      </w:pPr>
      <w:r>
        <w:rPr>
          <w:sz w:val="20"/>
        </w:rPr>
        <w:t xml:space="preserve">235. После удаления грыжи межпозвонкового диска освидетельствование проводится через 3 - 6 месяцев после операции с учетом характера операции и течения послеоперационного периода.</w:t>
      </w:r>
    </w:p>
    <w:p>
      <w:pPr>
        <w:pStyle w:val="0"/>
        <w:spacing w:before="200" w:line-rule="auto"/>
        <w:ind w:firstLine="540"/>
        <w:jc w:val="both"/>
      </w:pPr>
      <w:r>
        <w:rPr>
          <w:sz w:val="20"/>
        </w:rPr>
        <w:t xml:space="preserve">236. При наличии заболевания, сопровождающегося обмороками, годность к обучению и работе определяется по основному заболеванию.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основанием для заключения о негодности кандидатов на получение медицинского заключения, поступающих на учебу.</w:t>
      </w:r>
    </w:p>
    <w:p>
      <w:pPr>
        <w:pStyle w:val="0"/>
        <w:spacing w:before="200" w:line-rule="auto"/>
        <w:ind w:firstLine="540"/>
        <w:jc w:val="both"/>
      </w:pPr>
      <w:r>
        <w:rPr>
          <w:sz w:val="20"/>
        </w:rPr>
        <w:t xml:space="preserve">237. Кандидаты на получение медицинского заключения, перенесшие синкопальные состояния (обмороки), отстраняются от работы и направляются на обследование в неврологическое отделение медицинской организации, находящейся в ведении уполномоченного органа. Возможность выдачи положительного медицинского заключения рассматривается, если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3 месяцев до 1 года.</w:t>
      </w:r>
    </w:p>
    <w:p>
      <w:pPr>
        <w:pStyle w:val="0"/>
        <w:jc w:val="both"/>
      </w:pPr>
      <w:r>
        <w:rPr>
          <w:sz w:val="20"/>
        </w:rPr>
        <w:t xml:space="preserve">(в ред. </w:t>
      </w:r>
      <w:hyperlink w:history="0" r:id="rId14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238. При одно-двухкратном полностью объясненном доброкачественном эпизоде кандидат на получение медицинского заключения подлежит трехмесячному периоду наблюдения. При множественных повторяющихся эпизодах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239. Возврат к положительному решению о допуске к обучению и работе возможен после 2 лет наблюдения и повторного расширенного обследования.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кандидаты признаются не годными к обучению и работе.</w:t>
      </w:r>
    </w:p>
    <w:p>
      <w:pPr>
        <w:pStyle w:val="0"/>
        <w:jc w:val="both"/>
      </w:pPr>
      <w:r>
        <w:rPr>
          <w:sz w:val="20"/>
        </w:rPr>
      </w:r>
    </w:p>
    <w:p>
      <w:pPr>
        <w:pStyle w:val="2"/>
        <w:outlineLvl w:val="2"/>
        <w:jc w:val="center"/>
      </w:pPr>
      <w:r>
        <w:rPr>
          <w:sz w:val="20"/>
        </w:rPr>
        <w:t xml:space="preserve">XIV. Офтальмология (H00 - H59)</w:t>
      </w:r>
    </w:p>
    <w:p>
      <w:pPr>
        <w:pStyle w:val="0"/>
        <w:jc w:val="both"/>
      </w:pPr>
      <w:r>
        <w:rPr>
          <w:sz w:val="20"/>
        </w:rPr>
      </w:r>
    </w:p>
    <w:p>
      <w:pPr>
        <w:pStyle w:val="0"/>
        <w:ind w:firstLine="540"/>
        <w:jc w:val="both"/>
      </w:pPr>
      <w:r>
        <w:rPr>
          <w:sz w:val="20"/>
        </w:rPr>
        <w:t xml:space="preserve">240. У кандидата на получение медицинского заключения 2 класса не должно быть нарушений функции зрения как врожденных, так и приобретенных, острых или хронических состояний или каких-либо осложнений после хирургических вмешательств, травмы глаза или его придаточного аппарата, которые могут привести к ослаблению зрительных функций в такой степени, что могут повлиять на выполнение профессиональных обязанностей, предусмотренных соответствующим свидетельством.</w:t>
      </w:r>
    </w:p>
    <w:p>
      <w:pPr>
        <w:pStyle w:val="0"/>
        <w:spacing w:before="200" w:line-rule="auto"/>
        <w:ind w:firstLine="540"/>
        <w:jc w:val="both"/>
      </w:pPr>
      <w:r>
        <w:rPr>
          <w:sz w:val="20"/>
        </w:rPr>
        <w:t xml:space="preserve">241. У кандидата на получение медицинского заключения 2 класса должно быть устойчивое бинокулярное зрение, нормальное поле зрения, внутриглазное давление, соответствующее норме.</w:t>
      </w:r>
    </w:p>
    <w:p>
      <w:pPr>
        <w:pStyle w:val="0"/>
        <w:spacing w:before="200" w:line-rule="auto"/>
        <w:ind w:firstLine="540"/>
        <w:jc w:val="both"/>
      </w:pPr>
      <w:r>
        <w:rPr>
          <w:sz w:val="20"/>
        </w:rPr>
        <w:t xml:space="preserve">242. Результаты исследования темновой адаптации и чувствительности к ослеплению должны соответствовать нормам, указанным в инструкции используемого прибора.</w:t>
      </w:r>
    </w:p>
    <w:p>
      <w:pPr>
        <w:pStyle w:val="0"/>
        <w:jc w:val="both"/>
      </w:pPr>
      <w:r>
        <w:rPr>
          <w:sz w:val="20"/>
        </w:rPr>
      </w:r>
    </w:p>
    <w:p>
      <w:pPr>
        <w:pStyle w:val="2"/>
        <w:outlineLvl w:val="3"/>
        <w:jc w:val="center"/>
      </w:pPr>
      <w:r>
        <w:rPr>
          <w:sz w:val="20"/>
        </w:rPr>
        <w:t xml:space="preserve">Острота зрения (H52)</w:t>
      </w:r>
    </w:p>
    <w:p>
      <w:pPr>
        <w:pStyle w:val="0"/>
        <w:jc w:val="both"/>
      </w:pPr>
      <w:r>
        <w:rPr>
          <w:sz w:val="20"/>
        </w:rPr>
      </w:r>
    </w:p>
    <w:p>
      <w:pPr>
        <w:pStyle w:val="0"/>
        <w:ind w:firstLine="540"/>
        <w:jc w:val="both"/>
      </w:pPr>
      <w:r>
        <w:rPr>
          <w:sz w:val="20"/>
        </w:rPr>
        <w:t xml:space="preserve">243. Проверку остроты зрения рекомендуется проводить в хорошо освещенной комнате, низких и высоких уровней освещенности следует избегать. Рекомендуемое расстояние для проверки остроты зрения вдаль - 5 - 6 м.</w:t>
      </w:r>
    </w:p>
    <w:p>
      <w:pPr>
        <w:pStyle w:val="0"/>
        <w:spacing w:before="200" w:line-rule="auto"/>
        <w:ind w:firstLine="540"/>
        <w:jc w:val="both"/>
      </w:pPr>
      <w:r>
        <w:rPr>
          <w:sz w:val="20"/>
        </w:rPr>
        <w:t xml:space="preserve">244. Острота зрения вдаль исследуется: монокулярно, бинокулярно; без коррекции, с коррекцией; указывается истинная острота зрения.</w:t>
      </w:r>
    </w:p>
    <w:p>
      <w:pPr>
        <w:pStyle w:val="0"/>
        <w:spacing w:before="200" w:line-rule="auto"/>
        <w:ind w:firstLine="540"/>
        <w:jc w:val="both"/>
      </w:pPr>
      <w:r>
        <w:rPr>
          <w:sz w:val="20"/>
        </w:rPr>
        <w:t xml:space="preserve">245. Для кандидатов на получение медицинского заключения 2 класса пределы в отношении некорригированной остроты зрения не устанавливаются, острота зрения с коррекцией должна составлять 0.8 или выше на каждый глаз, обязательно наличие нормального поля зрения.</w:t>
      </w:r>
    </w:p>
    <w:p>
      <w:pPr>
        <w:pStyle w:val="0"/>
        <w:spacing w:before="200" w:line-rule="auto"/>
        <w:ind w:firstLine="540"/>
        <w:jc w:val="both"/>
      </w:pPr>
      <w:r>
        <w:rPr>
          <w:sz w:val="20"/>
        </w:rPr>
        <w:t xml:space="preserve">246. Кандидатам на получение медицинского заключения 2 класса при бинокулярной остроте зрения без коррекции 0.7 и выше, в том числе в условиях темновой адаптации, оптическая коррекция для дали (очки/контактные линзы) не требуется.</w:t>
      </w:r>
    </w:p>
    <w:p>
      <w:pPr>
        <w:pStyle w:val="0"/>
        <w:spacing w:before="200" w:line-rule="auto"/>
        <w:ind w:firstLine="540"/>
        <w:jc w:val="both"/>
      </w:pPr>
      <w:r>
        <w:rPr>
          <w:sz w:val="20"/>
        </w:rPr>
        <w:t xml:space="preserve">247. Коррекция ошибки рефракции необходима в том случае, если острота некорригированного зрения на оба глаза ниже 0,7 или когда проявляются симптомы астенопии, которые объясняются ошибкой рефракции.</w:t>
      </w:r>
    </w:p>
    <w:p>
      <w:pPr>
        <w:pStyle w:val="0"/>
        <w:spacing w:before="200" w:line-rule="auto"/>
        <w:ind w:firstLine="540"/>
        <w:jc w:val="both"/>
      </w:pPr>
      <w:r>
        <w:rPr>
          <w:sz w:val="20"/>
        </w:rPr>
        <w:t xml:space="preserve">248. В случаях когда вышеуказанная острота зрения достигается с помощью оптической коррекции, кандидат может быть признан годным к обучению и работе при условии, что используемые корригирующие очки или контактные линзы допустимы при осуществлении прав, предусмотренных соответствующим свидетельством или квалификационными отметками. Кандидату с пресбиопией, который использует контактные линзы, может потребоваться назначение очков для чтения для использования поверх контактных линз.</w:t>
      </w:r>
    </w:p>
    <w:p>
      <w:pPr>
        <w:pStyle w:val="0"/>
        <w:spacing w:before="200" w:line-rule="auto"/>
        <w:ind w:firstLine="540"/>
        <w:jc w:val="both"/>
      </w:pPr>
      <w:r>
        <w:rPr>
          <w:sz w:val="20"/>
        </w:rPr>
        <w:t xml:space="preserve">249. Все виды коррекции с использованием мультифокальных линз (очковой коррекции) приемлемы, при условии, что они хорошо переносятся. Контактные линзы должны быть монофокальными, неокрашенными и хорошо переносимыми. Линзы для изменения цветового восприятия не могут быть использованы.</w:t>
      </w:r>
    </w:p>
    <w:p>
      <w:pPr>
        <w:pStyle w:val="0"/>
        <w:jc w:val="both"/>
      </w:pPr>
      <w:r>
        <w:rPr>
          <w:sz w:val="20"/>
        </w:rPr>
      </w:r>
    </w:p>
    <w:p>
      <w:pPr>
        <w:pStyle w:val="2"/>
        <w:outlineLvl w:val="3"/>
        <w:jc w:val="center"/>
      </w:pPr>
      <w:r>
        <w:rPr>
          <w:sz w:val="20"/>
        </w:rPr>
        <w:t xml:space="preserve">Аккомодация (H52)</w:t>
      </w:r>
    </w:p>
    <w:p>
      <w:pPr>
        <w:pStyle w:val="0"/>
        <w:jc w:val="both"/>
      </w:pPr>
      <w:r>
        <w:rPr>
          <w:sz w:val="20"/>
        </w:rPr>
      </w:r>
    </w:p>
    <w:p>
      <w:pPr>
        <w:pStyle w:val="0"/>
        <w:ind w:firstLine="540"/>
        <w:jc w:val="both"/>
      </w:pPr>
      <w:r>
        <w:rPr>
          <w:sz w:val="20"/>
        </w:rPr>
        <w:t xml:space="preserve">250. Остроту зрения вблизи/на средней дистанции необходимо определять и регистрировать с корригирующими линзами (при необходимости) и без них.</w:t>
      </w:r>
    </w:p>
    <w:p>
      <w:pPr>
        <w:pStyle w:val="0"/>
        <w:spacing w:before="200" w:line-rule="auto"/>
        <w:ind w:firstLine="540"/>
        <w:jc w:val="both"/>
      </w:pPr>
      <w:r>
        <w:rPr>
          <w:sz w:val="20"/>
        </w:rPr>
        <w:t xml:space="preserve">251. Кандидаты на получение медицинского заключения 2 класса должны вблизи читать таблицу N 5 (острота зрения 0.6) на расстоянии 30 - 50 см и таблицу N 8 (острота зрения 0.3) на расстоянии 100 см, при необходимости с помощью коррекции.</w:t>
      </w:r>
    </w:p>
    <w:p>
      <w:pPr>
        <w:pStyle w:val="0"/>
        <w:jc w:val="both"/>
      </w:pPr>
      <w:r>
        <w:rPr>
          <w:sz w:val="20"/>
        </w:rPr>
      </w:r>
    </w:p>
    <w:p>
      <w:pPr>
        <w:pStyle w:val="2"/>
        <w:outlineLvl w:val="3"/>
        <w:jc w:val="center"/>
      </w:pPr>
      <w:r>
        <w:rPr>
          <w:sz w:val="20"/>
        </w:rPr>
        <w:t xml:space="preserve">Ошибка рефракции (H52)</w:t>
      </w:r>
    </w:p>
    <w:p>
      <w:pPr>
        <w:pStyle w:val="0"/>
        <w:jc w:val="both"/>
      </w:pPr>
      <w:r>
        <w:rPr>
          <w:sz w:val="20"/>
        </w:rPr>
      </w:r>
    </w:p>
    <w:bookmarkStart w:id="2326" w:name="P2326"/>
    <w:bookmarkEnd w:id="2326"/>
    <w:p>
      <w:pPr>
        <w:pStyle w:val="0"/>
        <w:ind w:firstLine="540"/>
        <w:jc w:val="both"/>
      </w:pPr>
      <w:r>
        <w:rPr>
          <w:sz w:val="20"/>
        </w:rPr>
        <w:t xml:space="preserve">252. Кандидаты на получение медицинского заключения 2 класса должны быть признаны не годными к обучению и работе при отсутствии нормальной бинокулярной функции, отсутствии нормального поля зрения, наличии диплопии.</w:t>
      </w:r>
    </w:p>
    <w:p>
      <w:pPr>
        <w:pStyle w:val="0"/>
        <w:spacing w:before="200" w:line-rule="auto"/>
        <w:ind w:firstLine="540"/>
        <w:jc w:val="both"/>
      </w:pPr>
      <w:r>
        <w:rPr>
          <w:sz w:val="20"/>
        </w:rPr>
        <w:t xml:space="preserve">253. Обследование кандидатов на получение медицинского заключения 2 класса в условиях циклоплегии проводится при наличии показаний (для диагностики офтальмологической патологии), при этом используются мидриатики короткого действия (тропикамид 1%).</w:t>
      </w:r>
    </w:p>
    <w:p>
      <w:pPr>
        <w:pStyle w:val="0"/>
        <w:spacing w:before="200" w:line-rule="auto"/>
        <w:ind w:firstLine="540"/>
        <w:jc w:val="both"/>
      </w:pPr>
      <w:r>
        <w:rPr>
          <w:sz w:val="20"/>
        </w:rPr>
        <w:t xml:space="preserve">254. Кандидат на получение медицинского заключения 2 класса с перечисленными ниже ошибками рефракции может быть оценен как годный к обучению и работе при условии, что подобрана оптимальная, хорошо переносимая коррекция, при этом значительной глазной патологии не выявлено.</w:t>
      </w:r>
    </w:p>
    <w:p>
      <w:pPr>
        <w:pStyle w:val="0"/>
        <w:spacing w:before="200" w:line-rule="auto"/>
        <w:ind w:firstLine="540"/>
        <w:jc w:val="both"/>
      </w:pPr>
      <w:r>
        <w:rPr>
          <w:sz w:val="20"/>
        </w:rPr>
        <w:t xml:space="preserve">255. Кандидат на получение медицинского заключения 2 класса признается годным к обучению и работе при миопии не выше 6.0D; при гиперметропии не выше 5.0D; при астигматизме, не превышающем +/- 2.5D; при анизометропия, не превышающей 2.5D при условии достижения оптимальной коррекции не ниже 0.8 на каждый глаз. Диагноз выносится с указанием вида и степени ошибки рефракции.</w:t>
      </w:r>
    </w:p>
    <w:p>
      <w:pPr>
        <w:pStyle w:val="0"/>
        <w:spacing w:before="200" w:line-rule="auto"/>
        <w:ind w:firstLine="540"/>
        <w:jc w:val="both"/>
      </w:pPr>
      <w:r>
        <w:rPr>
          <w:sz w:val="20"/>
        </w:rPr>
        <w:t xml:space="preserve">256. Кандидатам на получение медицинского заключения 2 класса с пониженной остротой зрения/при наличии пресбиопии предписывается выполнять полеты в корригирующих очках или контактных линзах и иметь при себе запасной комплект очков. В данных случаях устанавливаются ограничения VDL, VML, VNL, CCL. Наличие и качество очков (контактных линз) контролируется при прохождении предполетного осмотра.</w:t>
      </w:r>
    </w:p>
    <w:bookmarkStart w:id="2331" w:name="P2331"/>
    <w:bookmarkEnd w:id="2331"/>
    <w:p>
      <w:pPr>
        <w:pStyle w:val="0"/>
        <w:spacing w:before="200" w:line-rule="auto"/>
        <w:ind w:firstLine="540"/>
        <w:jc w:val="both"/>
      </w:pPr>
      <w:r>
        <w:rPr>
          <w:sz w:val="20"/>
        </w:rPr>
        <w:t xml:space="preserve">257. Кандидаты на получение медицинского заключения 2 класса должны иметь легкодоступные запасные корригирующие очки, которые обеспечивают оптимальную зрительную функцию, удобные и подходящие для выполнения профессиональных обязанностей.</w:t>
      </w:r>
    </w:p>
    <w:p>
      <w:pPr>
        <w:pStyle w:val="0"/>
        <w:jc w:val="both"/>
      </w:pPr>
      <w:r>
        <w:rPr>
          <w:sz w:val="20"/>
        </w:rPr>
      </w:r>
    </w:p>
    <w:p>
      <w:pPr>
        <w:pStyle w:val="2"/>
        <w:outlineLvl w:val="3"/>
        <w:jc w:val="center"/>
      </w:pPr>
      <w:r>
        <w:rPr>
          <w:sz w:val="20"/>
        </w:rPr>
        <w:t xml:space="preserve">Цветовосприятие (H53.5)</w:t>
      </w:r>
    </w:p>
    <w:p>
      <w:pPr>
        <w:pStyle w:val="0"/>
        <w:jc w:val="both"/>
      </w:pPr>
      <w:r>
        <w:rPr>
          <w:sz w:val="20"/>
        </w:rPr>
      </w:r>
    </w:p>
    <w:p>
      <w:pPr>
        <w:pStyle w:val="0"/>
        <w:ind w:firstLine="540"/>
        <w:jc w:val="both"/>
      </w:pPr>
      <w:r>
        <w:rPr>
          <w:sz w:val="20"/>
        </w:rPr>
        <w:t xml:space="preserve">258. От кандидата на получение медицинского заключения 2 класса требуется продемонстрировать способность правильно различать цвета, необходимые для безопасного выполнения профессиональных обязанностей.</w:t>
      </w:r>
    </w:p>
    <w:p>
      <w:pPr>
        <w:pStyle w:val="0"/>
        <w:spacing w:before="200" w:line-rule="auto"/>
        <w:ind w:firstLine="540"/>
        <w:jc w:val="both"/>
      </w:pPr>
      <w:r>
        <w:rPr>
          <w:sz w:val="20"/>
        </w:rPr>
        <w:t xml:space="preserve">259. Первоначально кандидаты на получение медицинского заключения 2 класса должны пройти проверку цветовосприятия с использованием полихроматических таблиц.</w:t>
      </w:r>
    </w:p>
    <w:p>
      <w:pPr>
        <w:pStyle w:val="0"/>
        <w:spacing w:before="200" w:line-rule="auto"/>
        <w:ind w:firstLine="540"/>
        <w:jc w:val="both"/>
      </w:pPr>
      <w:r>
        <w:rPr>
          <w:sz w:val="20"/>
        </w:rPr>
        <w:t xml:space="preserve">260. Кандидаты на получение медицинского заключения 2 класса, не прошедшие проверку по полихроматическим таблицам, должны пройти дополнительное тестирование - компьютерную аномалоскопию. К результату обследования должен быть приложен полный протокол тестирования.</w:t>
      </w:r>
    </w:p>
    <w:p>
      <w:pPr>
        <w:pStyle w:val="0"/>
        <w:spacing w:before="200" w:line-rule="auto"/>
        <w:ind w:firstLine="540"/>
        <w:jc w:val="both"/>
      </w:pPr>
      <w:r>
        <w:rPr>
          <w:sz w:val="20"/>
        </w:rPr>
        <w:t xml:space="preserve">При выявлении нарушения цветовосприятия компьютерная аномалоскопия проводится один раз в случаях отсутствия дополнительных показаний.</w:t>
      </w:r>
    </w:p>
    <w:p>
      <w:pPr>
        <w:pStyle w:val="0"/>
        <w:jc w:val="both"/>
      </w:pPr>
      <w:r>
        <w:rPr>
          <w:sz w:val="20"/>
        </w:rPr>
        <w:t xml:space="preserve">(абзац введен </w:t>
      </w:r>
      <w:hyperlink w:history="0" r:id="rId14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261. Диагноз расстройства цветового зрения выносится с указанием вида, формы и степени нарушения согласно принятой классификации.</w:t>
      </w:r>
    </w:p>
    <w:p>
      <w:pPr>
        <w:pStyle w:val="0"/>
        <w:spacing w:before="200" w:line-rule="auto"/>
        <w:ind w:firstLine="540"/>
        <w:jc w:val="both"/>
      </w:pPr>
      <w:r>
        <w:rPr>
          <w:sz w:val="20"/>
        </w:rPr>
        <w:t xml:space="preserve">262. Для кандидатов на получение медицинского заключения 2 класса расстройство цветовосприятия по типу "цветослабость", таких как дейтераномалия типов "C", "B", протаномалия типов "C", "B", не является причиной для отказа в выдаче свидетельства. Кандидаты на получение медицинского заключения 2 класса с такими расстройствами цветовосприятия, как аномальная трихромазия (протаномалия, дейтераномалия, тританомалия) типа "A", дихромазия (протанопия, дейтеранопия, тританопия), монохромазия, должны быть признаны не годными к обучению и работе.</w:t>
      </w:r>
    </w:p>
    <w:p>
      <w:pPr>
        <w:pStyle w:val="0"/>
        <w:jc w:val="both"/>
      </w:pPr>
      <w:r>
        <w:rPr>
          <w:sz w:val="20"/>
        </w:rPr>
      </w:r>
    </w:p>
    <w:p>
      <w:pPr>
        <w:pStyle w:val="2"/>
        <w:outlineLvl w:val="3"/>
        <w:jc w:val="center"/>
      </w:pPr>
      <w:r>
        <w:rPr>
          <w:sz w:val="20"/>
        </w:rPr>
        <w:t xml:space="preserve">Глазные болезни. Нарушение зрительных функций</w:t>
      </w:r>
    </w:p>
    <w:p>
      <w:pPr>
        <w:pStyle w:val="0"/>
        <w:jc w:val="both"/>
      </w:pPr>
      <w:r>
        <w:rPr>
          <w:sz w:val="20"/>
        </w:rPr>
      </w:r>
    </w:p>
    <w:p>
      <w:pPr>
        <w:pStyle w:val="0"/>
        <w:ind w:firstLine="540"/>
        <w:jc w:val="both"/>
      </w:pPr>
      <w:r>
        <w:rPr>
          <w:sz w:val="20"/>
        </w:rPr>
        <w:t xml:space="preserve">263. Понижение остроты зрения вследствие заболеваний глазного яблока: воспалительного, сосудистого, дегенеративного характера, после оперативных вмешательств, травмы, новообразования (H00 - H06; H10 - H13; H15 - H22; H25 - H28; H30 - H36; H43 - H48; H53 - H59; C69).</w:t>
      </w:r>
    </w:p>
    <w:bookmarkStart w:id="2346" w:name="P2346"/>
    <w:bookmarkEnd w:id="2346"/>
    <w:p>
      <w:pPr>
        <w:pStyle w:val="0"/>
        <w:spacing w:before="200" w:line-rule="auto"/>
        <w:ind w:firstLine="540"/>
        <w:jc w:val="both"/>
      </w:pPr>
      <w:r>
        <w:rPr>
          <w:sz w:val="20"/>
        </w:rPr>
        <w:t xml:space="preserve">264. Кандидаты на получение медицинского заключения 2 класса с патологическим снижением зрения на один глаз (ослабление центрального зрения) могут быть признаны годными к обучению и работе при определенных условиях: бинокулярное зрение сохранно, второй глаз имеет остроту зрения вдаль 1.0 с коррекцией или без коррекции, достигает промежуточной остроты зрения (ближняя, средняя дистанция), лежащая в основе патология является приемлемой согласно офтальмологической оценке, а в незатронутом глазу нет значительной глазной патологии.</w:t>
      </w:r>
    </w:p>
    <w:p>
      <w:pPr>
        <w:pStyle w:val="0"/>
        <w:spacing w:before="200" w:line-rule="auto"/>
        <w:ind w:firstLine="540"/>
        <w:jc w:val="both"/>
      </w:pPr>
      <w:r>
        <w:rPr>
          <w:sz w:val="20"/>
        </w:rPr>
        <w:t xml:space="preserve">265. Кандидаты на получение медицинского заключения 2 класса с отсутствием бинокулярного зрения признаются не годными к обучению и работе с учетом высокого риска развития диплопии и синдрома изменения местоположения. Оценку бинокулярного зрения необходимо проводить в рамках каждого медицинского освидетельствования.</w:t>
      </w:r>
    </w:p>
    <w:p>
      <w:pPr>
        <w:pStyle w:val="0"/>
        <w:spacing w:before="200" w:line-rule="auto"/>
        <w:ind w:firstLine="540"/>
        <w:jc w:val="both"/>
      </w:pPr>
      <w:r>
        <w:rPr>
          <w:sz w:val="20"/>
        </w:rPr>
        <w:t xml:space="preserve">266. Периферическое поле зрение должно быть в пределах нормы. Дефекты поля зрения в одном или обоих глазах могут быть приемлемыми, если они компенсируют друг друга так, что бинокулярное поле зрения является сохранным.</w:t>
      </w:r>
    </w:p>
    <w:p>
      <w:pPr>
        <w:pStyle w:val="0"/>
        <w:jc w:val="both"/>
      </w:pPr>
      <w:r>
        <w:rPr>
          <w:sz w:val="20"/>
        </w:rPr>
      </w:r>
    </w:p>
    <w:p>
      <w:pPr>
        <w:pStyle w:val="2"/>
        <w:outlineLvl w:val="3"/>
        <w:jc w:val="center"/>
      </w:pPr>
      <w:r>
        <w:rPr>
          <w:sz w:val="20"/>
        </w:rPr>
        <w:t xml:space="preserve">Заболевания век и конъюнктивы</w:t>
      </w:r>
    </w:p>
    <w:p>
      <w:pPr>
        <w:pStyle w:val="0"/>
        <w:jc w:val="both"/>
      </w:pPr>
      <w:r>
        <w:rPr>
          <w:sz w:val="20"/>
        </w:rPr>
      </w:r>
    </w:p>
    <w:p>
      <w:pPr>
        <w:pStyle w:val="0"/>
        <w:ind w:firstLine="540"/>
        <w:jc w:val="both"/>
      </w:pPr>
      <w:r>
        <w:rPr>
          <w:sz w:val="20"/>
        </w:rPr>
        <w:t xml:space="preserve">267. Кандидаты на получение медицинского заключения признаются не годными к обучению и работе при наличии паралича век и мышц, недостаточности и вывороте век (эктропион, энтропион), неправильном функционировании век, ухудшающем защиту глаза, лагофтальма, шрамах и сращениях век между собой, птоза (врожденного или приобретенного), приводящего к сужению поля зрения, язвенных блефаритах, злокачественных новообразованиях, доброкачественных опухолях, нарушающих функцию органа зрения и не подлежащих оперативному лечению.</w:t>
      </w:r>
    </w:p>
    <w:p>
      <w:pPr>
        <w:pStyle w:val="0"/>
        <w:spacing w:before="200" w:line-rule="auto"/>
        <w:ind w:firstLine="540"/>
        <w:jc w:val="both"/>
      </w:pPr>
      <w:r>
        <w:rPr>
          <w:sz w:val="20"/>
        </w:rPr>
        <w:t xml:space="preserve">268. Нерезко выраженные заболевания с такими редкими обострениями, как простые блефариты, врожденный птоз без нарушения зрительных функций (после консультации невролога), нерезко выраженные конъюнктивиты, небольшие бессимптомные и непрогрессирующие доброкачественные опухоли, невус конъюнктивы (стационарный), секторальный меланоз конъюнктивы, птеригиум (стационарный, без нарушения зрительных функций) рубцовые изменения век, не нарушающие функцию органа зрения, не являются дисквалифицирующим фактором. При наличии у кандидата на получение медицинского заключения онкологических образований кожи век (при благоприятном прогнозе, неосложненном послеоперационном течении, отсутствии метастатического поражения, отсутствии рецидива опухолевого роста) вопрос о допуске к работе рассматривается не ранее чем через 6 месяцев после окончательного излечения с обязательным представлением заключения онколога.</w:t>
      </w:r>
    </w:p>
    <w:p>
      <w:pPr>
        <w:pStyle w:val="0"/>
        <w:jc w:val="both"/>
      </w:pPr>
      <w:r>
        <w:rPr>
          <w:sz w:val="20"/>
        </w:rPr>
        <w:t xml:space="preserve">(в ред. </w:t>
      </w:r>
      <w:hyperlink w:history="0" r:id="rId14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269. При острых заболеваниях или обострениях хронического заболевания век и конъюнктивы проводится лечение.</w:t>
      </w:r>
    </w:p>
    <w:p>
      <w:pPr>
        <w:pStyle w:val="0"/>
        <w:spacing w:before="200" w:line-rule="auto"/>
        <w:ind w:firstLine="540"/>
        <w:jc w:val="both"/>
      </w:pPr>
      <w:r>
        <w:rPr>
          <w:sz w:val="20"/>
        </w:rPr>
        <w:t xml:space="preserve">270. При заболеваниях слезных органов и слезоотводящих путей кандидаты на получение медицинского заключения 2 класса признаются не годными к обучению и работе при наличии состояний слезных органов и слезоотводящих путей, связанных с нарушением слезоотведения.</w:t>
      </w:r>
    </w:p>
    <w:p>
      <w:pPr>
        <w:pStyle w:val="0"/>
        <w:spacing w:before="200" w:line-rule="auto"/>
        <w:ind w:firstLine="540"/>
        <w:jc w:val="both"/>
      </w:pPr>
      <w:r>
        <w:rPr>
          <w:sz w:val="20"/>
        </w:rPr>
        <w:t xml:space="preserve">К данным заболеваниям относятся: сужение, неправильное положение слезных точек, стриктура слезно-носовых канальцев, воспаление слезного мешка, слезной железы, травматические повреждения и другие заболевания, вызывающие слезотечение.</w:t>
      </w:r>
    </w:p>
    <w:p>
      <w:pPr>
        <w:pStyle w:val="0"/>
        <w:spacing w:before="200" w:line-rule="auto"/>
        <w:ind w:firstLine="540"/>
        <w:jc w:val="both"/>
      </w:pPr>
      <w:r>
        <w:rPr>
          <w:sz w:val="20"/>
        </w:rPr>
        <w:t xml:space="preserve">271. Состояния слезных органов и слезоотводящих путей без нарушения слезоотведения восстановление функции слезоотведения, а также отсутствие нижней слезной точки, при нормальной функции верхней слезной точки и канальцев (оценивается канальцевая и носовая пробы) не являются дисквалифицирующим фактором при определении годности к работе.</w:t>
      </w:r>
    </w:p>
    <w:p>
      <w:pPr>
        <w:pStyle w:val="0"/>
        <w:spacing w:before="200" w:line-rule="auto"/>
        <w:ind w:firstLine="540"/>
        <w:jc w:val="both"/>
      </w:pPr>
      <w:r>
        <w:rPr>
          <w:sz w:val="20"/>
        </w:rPr>
        <w:t xml:space="preserve">272. После перенесенного острого заболевания - конъюнктивита, склерита, кератита, переднего увеита, легких повреждениях глазного яблока вопрос о годности рассматривается после выздоровления и прекращения лечения, так как некоторые глазные препараты могут приводить к ухудшению зрения. Следует учитывать первопричину.</w:t>
      </w:r>
    </w:p>
    <w:p>
      <w:pPr>
        <w:pStyle w:val="0"/>
        <w:spacing w:before="200" w:line-rule="auto"/>
        <w:ind w:firstLine="540"/>
        <w:jc w:val="both"/>
      </w:pPr>
      <w:r>
        <w:rPr>
          <w:sz w:val="20"/>
        </w:rPr>
        <w:t xml:space="preserve">273. При задних увеитах, длительно текущих, рецидивирующих иридоциклитах (должны быть приложены результаты системного обследования, следует учитывать первопричины заболевания), кератитах, хориоретинитах, невритах, травматических повреждениях глазного яблока с исходом выздоровления кандидаты на получение медицинского заключения 2 класса подлежат лечению с последующим медицинским освидетельствованием.</w:t>
      </w:r>
    </w:p>
    <w:p>
      <w:pPr>
        <w:pStyle w:val="0"/>
        <w:spacing w:before="200" w:line-rule="auto"/>
        <w:ind w:firstLine="540"/>
        <w:jc w:val="both"/>
      </w:pPr>
      <w:r>
        <w:rPr>
          <w:sz w:val="20"/>
        </w:rPr>
        <w:t xml:space="preserve">274. Кандидаты на получение медицинского заключения 2 класса при наличии следующих заболеваний должны быть признаны не годными к обучению и работе: отслойка сетчатки, дегенеративный ретиношизис, любые виды тапеторетинальной дегенерации сетчатки, окклюзия сосудов сетчатки, экссудативная форма возрастной макулярной дегенерации сетчатки, рецидивирующий кератит, рубцы роговицы, нарушающие зрительную функцию, эндокринная офтальмопатия, атрофия зрительного нерва любой этиологии, злокачественные новообразования глаза и его придаточного аппарата, дислокация хрусталика, патологический нистагм любой этиологии, наличие инородных тел в структурах глаза, никталопия.</w:t>
      </w:r>
    </w:p>
    <w:p>
      <w:pPr>
        <w:pStyle w:val="0"/>
        <w:spacing w:before="200" w:line-rule="auto"/>
        <w:ind w:firstLine="540"/>
        <w:jc w:val="both"/>
      </w:pPr>
      <w:r>
        <w:rPr>
          <w:sz w:val="20"/>
        </w:rPr>
        <w:t xml:space="preserve">275. Вопрос о годности кандидатов на получение медицинского заключения 2 класса с такими дегенеративными заболеваниями, как дистрофия роговицы, кератоконус, кератэктазия может быть рассмотрен ЦВЛЭК ГА. Экспертный подход включает оценку достаточной сохранности зрительных функций, отсутствия прогрессирования процесса, сохранности бинокулярного зрения.</w:t>
      </w:r>
    </w:p>
    <w:p>
      <w:pPr>
        <w:pStyle w:val="0"/>
        <w:spacing w:before="200" w:line-rule="auto"/>
        <w:ind w:firstLine="540"/>
        <w:jc w:val="both"/>
      </w:pPr>
      <w:r>
        <w:rPr>
          <w:sz w:val="20"/>
        </w:rPr>
        <w:t xml:space="preserve">276. Кандидаты на получение медицинского заключения 2 класса, перенесшие окклюзию сосудов сетчатки, должны быть признаны не годными к работе. Возможность восстановления на летную работу может быть рассмотрена ЦВЛЭК ГА. Последующая оценка состояния здоровья должна включать не только оценку зрительных функций, но и возможные риски нарушений со стороны сердечно-сосудистой системы. Необходимое условие для определения годности к работе - консультация кардиолога.</w:t>
      </w:r>
    </w:p>
    <w:p>
      <w:pPr>
        <w:pStyle w:val="0"/>
        <w:jc w:val="both"/>
      </w:pPr>
      <w:r>
        <w:rPr>
          <w:sz w:val="20"/>
        </w:rPr>
      </w:r>
    </w:p>
    <w:p>
      <w:pPr>
        <w:pStyle w:val="2"/>
        <w:outlineLvl w:val="3"/>
        <w:jc w:val="center"/>
      </w:pPr>
      <w:r>
        <w:rPr>
          <w:sz w:val="20"/>
        </w:rPr>
        <w:t xml:space="preserve">Центральная серозная ретинопатия</w:t>
      </w:r>
    </w:p>
    <w:p>
      <w:pPr>
        <w:pStyle w:val="0"/>
        <w:jc w:val="both"/>
      </w:pPr>
      <w:r>
        <w:rPr>
          <w:sz w:val="20"/>
        </w:rPr>
      </w:r>
    </w:p>
    <w:p>
      <w:pPr>
        <w:pStyle w:val="0"/>
        <w:ind w:firstLine="540"/>
        <w:jc w:val="both"/>
      </w:pPr>
      <w:r>
        <w:rPr>
          <w:sz w:val="20"/>
        </w:rPr>
        <w:t xml:space="preserve">277. Кандидаты на получение медицинского заключения с центральной серозной ретинопатией признаются не годными к работе. Возможность восстановления к летной работе рассматривается в случае, когда наступает стадия разрешения и стабилизации патологического процесса, при условии достаточной сохранности зрительных функций.</w:t>
      </w:r>
    </w:p>
    <w:p>
      <w:pPr>
        <w:pStyle w:val="0"/>
        <w:jc w:val="both"/>
      </w:pPr>
      <w:r>
        <w:rPr>
          <w:sz w:val="20"/>
        </w:rPr>
      </w:r>
    </w:p>
    <w:p>
      <w:pPr>
        <w:pStyle w:val="2"/>
        <w:outlineLvl w:val="3"/>
        <w:jc w:val="center"/>
      </w:pPr>
      <w:r>
        <w:rPr>
          <w:sz w:val="20"/>
        </w:rPr>
        <w:t xml:space="preserve">Отслойка сетчатки</w:t>
      </w:r>
    </w:p>
    <w:p>
      <w:pPr>
        <w:pStyle w:val="0"/>
        <w:jc w:val="both"/>
      </w:pPr>
      <w:r>
        <w:rPr>
          <w:sz w:val="20"/>
        </w:rPr>
      </w:r>
    </w:p>
    <w:p>
      <w:pPr>
        <w:pStyle w:val="0"/>
        <w:ind w:firstLine="540"/>
        <w:jc w:val="both"/>
      </w:pPr>
      <w:r>
        <w:rPr>
          <w:sz w:val="20"/>
        </w:rPr>
        <w:t xml:space="preserve">278. Кандидаты на получение медицинского заключения 2 класса с отслойкой сетчатки должны быть признаны не годными к работе. Возможность восстановления может быть рассмотрена в ЦВЛЭК при условии достаточной сохранности зрительных функций и сохранности периферического поля зрения. При наличии периферических разрывов сетчатки после успешного проведения лазерного лечения можно рассматривать вопрос о допуске к работе.</w:t>
      </w:r>
    </w:p>
    <w:p>
      <w:pPr>
        <w:pStyle w:val="0"/>
        <w:jc w:val="both"/>
      </w:pPr>
      <w:r>
        <w:rPr>
          <w:sz w:val="20"/>
        </w:rPr>
      </w:r>
    </w:p>
    <w:p>
      <w:pPr>
        <w:pStyle w:val="2"/>
        <w:outlineLvl w:val="3"/>
        <w:jc w:val="center"/>
      </w:pPr>
      <w:r>
        <w:rPr>
          <w:sz w:val="20"/>
        </w:rPr>
        <w:t xml:space="preserve">Друзы зрительного нерва</w:t>
      </w:r>
    </w:p>
    <w:p>
      <w:pPr>
        <w:pStyle w:val="0"/>
        <w:jc w:val="both"/>
      </w:pPr>
      <w:r>
        <w:rPr>
          <w:sz w:val="20"/>
        </w:rPr>
      </w:r>
    </w:p>
    <w:p>
      <w:pPr>
        <w:pStyle w:val="0"/>
        <w:ind w:firstLine="540"/>
        <w:jc w:val="both"/>
      </w:pPr>
      <w:r>
        <w:rPr>
          <w:sz w:val="20"/>
        </w:rPr>
        <w:t xml:space="preserve">279. Наличие друз зрительного нерва не является причиной негодности к работе при условии приемлемой остроты зрения и сохранности периферического поля зрения у кандидата на получение медицинского заключения 2 класса.</w:t>
      </w:r>
    </w:p>
    <w:p>
      <w:pPr>
        <w:pStyle w:val="0"/>
        <w:jc w:val="both"/>
      </w:pPr>
      <w:r>
        <w:rPr>
          <w:sz w:val="20"/>
        </w:rPr>
      </w:r>
    </w:p>
    <w:p>
      <w:pPr>
        <w:pStyle w:val="2"/>
        <w:outlineLvl w:val="3"/>
        <w:jc w:val="center"/>
      </w:pPr>
      <w:r>
        <w:rPr>
          <w:sz w:val="20"/>
        </w:rPr>
        <w:t xml:space="preserve">Заболевания глаз с достаточной сохранностью функции</w:t>
      </w:r>
    </w:p>
    <w:p>
      <w:pPr>
        <w:pStyle w:val="2"/>
        <w:jc w:val="center"/>
      </w:pPr>
      <w:r>
        <w:rPr>
          <w:sz w:val="20"/>
        </w:rPr>
        <w:t xml:space="preserve">органа зрения</w:t>
      </w:r>
    </w:p>
    <w:p>
      <w:pPr>
        <w:pStyle w:val="0"/>
        <w:jc w:val="both"/>
      </w:pPr>
      <w:r>
        <w:rPr>
          <w:sz w:val="20"/>
        </w:rPr>
      </w:r>
    </w:p>
    <w:p>
      <w:pPr>
        <w:pStyle w:val="0"/>
        <w:ind w:firstLine="540"/>
        <w:jc w:val="both"/>
      </w:pPr>
      <w:r>
        <w:rPr>
          <w:sz w:val="20"/>
        </w:rPr>
        <w:t xml:space="preserve">280. К данной группе относятся заболевания, соответствующие требованиям </w:t>
      </w:r>
      <w:hyperlink w:history="0" w:anchor="P2346" w:tooltip="264. Кандидаты на получение медицинского заключения 2 класса с патологическим снижением зрения на один глаз (ослабление центрального зрения) могут быть признаны годными к обучению и работе при определенных условиях: бинокулярное зрение сохранно, второй глаз имеет остроту зрения вдаль 1.0 с коррекцией или без коррекции, достигает промежуточной остроты зрения (ближняя, средняя дистанция), лежащая в основе патология является приемлемой согласно офтальмологической оценке, а в незатронутом глазу нет значитель...">
        <w:r>
          <w:rPr>
            <w:sz w:val="20"/>
            <w:color w:val="0000ff"/>
          </w:rPr>
          <w:t xml:space="preserve">пунктов 264</w:t>
        </w:r>
      </w:hyperlink>
      <w:r>
        <w:rPr>
          <w:sz w:val="20"/>
        </w:rPr>
        <w:t xml:space="preserve">, </w:t>
      </w:r>
      <w:hyperlink w:history="0" w:anchor="P2384" w:tooltip="281. За достаточную сохранность зрительных функций принимается: острота зрения на худшем глазу не ниже 0.3 без коррекции (с коррекцией для лиц с ошибкой рефракции), нормальное поле зрения, темновая адаптация, соответствующая норме, устойчивое бинокулярное зрение. Зрительные функции другого глаза должны отвечать требованиям пунктов 252 - 257 настоящего Приложения.">
        <w:r>
          <w:rPr>
            <w:sz w:val="20"/>
            <w:color w:val="0000ff"/>
          </w:rPr>
          <w:t xml:space="preserve">281</w:t>
        </w:r>
      </w:hyperlink>
      <w:r>
        <w:rPr>
          <w:sz w:val="20"/>
        </w:rPr>
        <w:t xml:space="preserve"> настоящего приложения, в том числе начальная катаракта, рубцы (помутнения) роговицы, не нарушающие зрительную функцию, невус хориоидеи (стационарный), атрофическая форма возрастной макулярной дегенерации сетчатки, доброкачественные формы периферической хориоретинальной дистрофии сетчатки (микрокистозная дегенерация, инеевидная дегенерация, дегенерация типа "булыжная мостовая", дегенерация типа "медовых сот", друзы, пигментная дегенерация зубчатой линии).</w:t>
      </w:r>
    </w:p>
    <w:p>
      <w:pPr>
        <w:pStyle w:val="0"/>
        <w:spacing w:before="200" w:line-rule="auto"/>
        <w:ind w:firstLine="540"/>
        <w:jc w:val="both"/>
      </w:pPr>
      <w:r>
        <w:rPr>
          <w:sz w:val="20"/>
        </w:rPr>
        <w:t xml:space="preserve">Доброкачественные формы дегенерации сетчатки не требуют профилактического оперативного лечения.</w:t>
      </w:r>
    </w:p>
    <w:p>
      <w:pPr>
        <w:pStyle w:val="0"/>
        <w:spacing w:before="200" w:line-rule="auto"/>
        <w:ind w:firstLine="540"/>
        <w:jc w:val="both"/>
      </w:pPr>
      <w:r>
        <w:rPr>
          <w:sz w:val="20"/>
        </w:rPr>
        <w:t xml:space="preserve">Прогностически опасные виды периферической хориоретинальной дистрофии сетчатки (регматогенные) (решетчатая дегенерация, дегенерация типа "след улитки", дегенерация с истончением сетчатки, а также дегенерация сетчатки с витреоретинальной тракцией) требуют проведения профилактического оперативного (лазерного) лечения, с последующим динамическим наблюдением.</w:t>
      </w:r>
    </w:p>
    <w:p>
      <w:pPr>
        <w:pStyle w:val="0"/>
        <w:jc w:val="both"/>
      </w:pPr>
      <w:r>
        <w:rPr>
          <w:sz w:val="20"/>
        </w:rPr>
        <w:t xml:space="preserve">(п. 280 в ред. </w:t>
      </w:r>
      <w:hyperlink w:history="0" r:id="rId14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2384" w:name="P2384"/>
    <w:bookmarkEnd w:id="2384"/>
    <w:p>
      <w:pPr>
        <w:pStyle w:val="0"/>
        <w:spacing w:before="200" w:line-rule="auto"/>
        <w:ind w:firstLine="540"/>
        <w:jc w:val="both"/>
      </w:pPr>
      <w:r>
        <w:rPr>
          <w:sz w:val="20"/>
        </w:rPr>
        <w:t xml:space="preserve">281. За достаточную сохранность зрительных функций принимается: острота зрения на худшем глазу не ниже 0.3 без коррекции (с коррекцией для лиц с ошибкой рефракции), нормальное поле зрения, темновая адаптация, соответствующая норме, устойчивое бинокулярное зрение. Зрительные функции другого глаза должны отвечать требованиям </w:t>
      </w:r>
      <w:hyperlink w:history="0" w:anchor="P2326" w:tooltip="252. Кандидаты на получение медицинского заключения 2 класса должны быть признаны не годными к обучению и работе при отсутствии нормальной бинокулярной функции, отсутствии нормального поля зрения, наличии диплопии.">
        <w:r>
          <w:rPr>
            <w:sz w:val="20"/>
            <w:color w:val="0000ff"/>
          </w:rPr>
          <w:t xml:space="preserve">пунктов 252</w:t>
        </w:r>
      </w:hyperlink>
      <w:r>
        <w:rPr>
          <w:sz w:val="20"/>
        </w:rPr>
        <w:t xml:space="preserve"> - </w:t>
      </w:r>
      <w:hyperlink w:history="0" w:anchor="P2331" w:tooltip="257. Кандидаты на получение медицинского заключения 2 класса должны иметь легкодоступные запасные корригирующие очки, которые обеспечивают оптимальную зрительную функцию, удобные и подходящие для выполнения профессиональных обязанностей.">
        <w:r>
          <w:rPr>
            <w:sz w:val="20"/>
            <w:color w:val="0000ff"/>
          </w:rPr>
          <w:t xml:space="preserve">257</w:t>
        </w:r>
      </w:hyperlink>
      <w:r>
        <w:rPr>
          <w:sz w:val="20"/>
        </w:rPr>
        <w:t xml:space="preserve"> настоящего Приложения.</w:t>
      </w:r>
    </w:p>
    <w:p>
      <w:pPr>
        <w:pStyle w:val="0"/>
        <w:spacing w:before="200" w:line-rule="auto"/>
        <w:ind w:firstLine="540"/>
        <w:jc w:val="both"/>
      </w:pPr>
      <w:r>
        <w:rPr>
          <w:sz w:val="20"/>
        </w:rPr>
        <w:t xml:space="preserve">282. Кандидат на получение медицинского заключения с амблиопией может быть оценен как годный к обучению и работе при остроте зрения на данный глаз 0.3 (без коррекции/с коррекцией) и выше при условии, что острота зрения на другой глаз - не менее 0.8 и выше (с коррекцией или без нее), бинокулярное зрение является устойчивым, а также отсутствует грубая офтальмологической патология.</w:t>
      </w:r>
    </w:p>
    <w:p>
      <w:pPr>
        <w:pStyle w:val="0"/>
        <w:spacing w:before="200" w:line-rule="auto"/>
        <w:ind w:firstLine="540"/>
        <w:jc w:val="both"/>
      </w:pPr>
      <w:r>
        <w:rPr>
          <w:sz w:val="20"/>
        </w:rPr>
        <w:t xml:space="preserve">283. Ложная крыловидная плева, пингвекула, небольшой халязион,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к вынесению медицинского заключения о годности к обучению и работе.</w:t>
      </w:r>
    </w:p>
    <w:p>
      <w:pPr>
        <w:pStyle w:val="0"/>
        <w:jc w:val="both"/>
      </w:pPr>
      <w:r>
        <w:rPr>
          <w:sz w:val="20"/>
        </w:rPr>
      </w:r>
    </w:p>
    <w:p>
      <w:pPr>
        <w:pStyle w:val="2"/>
        <w:outlineLvl w:val="3"/>
        <w:jc w:val="center"/>
      </w:pPr>
      <w:r>
        <w:rPr>
          <w:sz w:val="20"/>
        </w:rPr>
        <w:t xml:space="preserve">Хирургия</w:t>
      </w:r>
    </w:p>
    <w:p>
      <w:pPr>
        <w:pStyle w:val="0"/>
        <w:jc w:val="both"/>
      </w:pPr>
      <w:r>
        <w:rPr>
          <w:sz w:val="20"/>
        </w:rPr>
      </w:r>
    </w:p>
    <w:p>
      <w:pPr>
        <w:pStyle w:val="0"/>
        <w:ind w:firstLine="540"/>
        <w:jc w:val="both"/>
      </w:pPr>
      <w:r>
        <w:rPr>
          <w:sz w:val="20"/>
        </w:rPr>
        <w:t xml:space="preserve">284. Кандидаты к получению медицинского заключения, перенесшие интракапсулярную экстракцию катаракты с имплантацией интраокуляной линзы, признаются не годными к обучению и работе.</w:t>
      </w:r>
    </w:p>
    <w:p>
      <w:pPr>
        <w:pStyle w:val="0"/>
        <w:spacing w:before="200" w:line-rule="auto"/>
        <w:ind w:firstLine="540"/>
        <w:jc w:val="both"/>
      </w:pPr>
      <w:r>
        <w:rPr>
          <w:sz w:val="20"/>
        </w:rPr>
        <w:t xml:space="preserve">285. Допуск к работе обладателей медицинского заключения после проведения экстракапсулярной экстракции катаракты с имплантацией интраокулярной линзы (факоэмульсификация катаракты с имплантацией интраокулярной линзы (далее - ИОЛ): ультразвуковая, лазерная), включая операцию на оба глаза, осуществляется не ранее чем через 6 недель после проведенной операции (Z96.1). Решение выносится после полного восстановления, при отмене лекарственных препаратов, при стабилизации зрительных функций и при отсутствии послеоперационных осложнений. Обследование должно быть полным, включая обследование дальней периферии сетчатки, определение темновой адаптации, контрастной чувствительности и чувствительности к ослеплению.</w:t>
      </w:r>
    </w:p>
    <w:p>
      <w:pPr>
        <w:pStyle w:val="0"/>
        <w:jc w:val="both"/>
      </w:pPr>
      <w:r>
        <w:rPr>
          <w:sz w:val="20"/>
        </w:rPr>
        <w:t xml:space="preserve">(в ред. </w:t>
      </w:r>
      <w:hyperlink w:history="0" r:id="rId14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286. Медицинским учреждением, проводившим оперативное лечение, должен быть представлен отчет о проведенной манипуляции. Данный документ должен включать: дату и тип проведенной операции, предоперационную рефракцию и детали любых осложнений (или заключение об отсутствии осложнений).</w:t>
      </w:r>
    </w:p>
    <w:p>
      <w:pPr>
        <w:pStyle w:val="0"/>
        <w:spacing w:before="200" w:line-rule="auto"/>
        <w:ind w:firstLine="540"/>
        <w:jc w:val="both"/>
      </w:pPr>
      <w:r>
        <w:rPr>
          <w:sz w:val="20"/>
        </w:rPr>
        <w:t xml:space="preserve">287. После лазерных оперативных вмешательств на сетчатке вопрос о допуске к работе решается через 2 недели после операции (лазерная коагуляция сетчатки) с учетом степени сохранности зрительных функций.</w:t>
      </w:r>
    </w:p>
    <w:p>
      <w:pPr>
        <w:pStyle w:val="0"/>
        <w:spacing w:before="200" w:line-rule="auto"/>
        <w:ind w:firstLine="540"/>
        <w:jc w:val="both"/>
      </w:pPr>
      <w:r>
        <w:rPr>
          <w:sz w:val="20"/>
        </w:rPr>
        <w:t xml:space="preserve">288. Кандидат на получение медицинского заключения 2 класса, перенесший рефракционную операцию по поводу аномалии рефракции, может быть оценен как годный к обучению и работе при следующих условиях:</w:t>
      </w:r>
    </w:p>
    <w:p>
      <w:pPr>
        <w:pStyle w:val="0"/>
        <w:spacing w:before="200" w:line-rule="auto"/>
        <w:ind w:firstLine="540"/>
        <w:jc w:val="both"/>
      </w:pPr>
      <w:r>
        <w:rPr>
          <w:sz w:val="20"/>
        </w:rPr>
        <w:t xml:space="preserve">1) предоперационная рефракция не превышала +5.0 D/-6.0 D, cy1 +/- 2.5D;</w:t>
      </w:r>
    </w:p>
    <w:p>
      <w:pPr>
        <w:pStyle w:val="0"/>
        <w:spacing w:before="200" w:line-rule="auto"/>
        <w:ind w:firstLine="540"/>
        <w:jc w:val="both"/>
      </w:pPr>
      <w:r>
        <w:rPr>
          <w:sz w:val="20"/>
        </w:rPr>
        <w:t xml:space="preserve">2) операция прошла без осложнений;</w:t>
      </w:r>
    </w:p>
    <w:p>
      <w:pPr>
        <w:pStyle w:val="0"/>
        <w:spacing w:before="200" w:line-rule="auto"/>
        <w:ind w:firstLine="540"/>
        <w:jc w:val="both"/>
      </w:pPr>
      <w:r>
        <w:rPr>
          <w:sz w:val="20"/>
        </w:rPr>
        <w:t xml:space="preserve">3) зрительные функции стабилизировались (послеоперационная стабильность рефракции может варьироваться не более 0,75D в дневное время);</w:t>
      </w:r>
    </w:p>
    <w:p>
      <w:pPr>
        <w:pStyle w:val="0"/>
        <w:spacing w:before="200" w:line-rule="auto"/>
        <w:ind w:firstLine="540"/>
        <w:jc w:val="both"/>
      </w:pPr>
      <w:r>
        <w:rPr>
          <w:sz w:val="20"/>
        </w:rPr>
        <w:t xml:space="preserve">4) отсутствие грубых рубцов (помутнений) на роговице. Отсутствие грубых патологических изменений на глазном дне, которые могут привести к развитию отдаленных осложнений, в том числе и отслойки сетчатки;</w:t>
      </w:r>
    </w:p>
    <w:p>
      <w:pPr>
        <w:pStyle w:val="0"/>
        <w:spacing w:before="200" w:line-rule="auto"/>
        <w:ind w:firstLine="540"/>
        <w:jc w:val="both"/>
      </w:pPr>
      <w:r>
        <w:rPr>
          <w:sz w:val="20"/>
        </w:rPr>
        <w:t xml:space="preserve">5) отсутствие жалоб на фотопсии ("блики", "ореолы");</w:t>
      </w:r>
    </w:p>
    <w:p>
      <w:pPr>
        <w:pStyle w:val="0"/>
        <w:spacing w:before="200" w:line-rule="auto"/>
        <w:ind w:firstLine="540"/>
        <w:jc w:val="both"/>
      </w:pPr>
      <w:r>
        <w:rPr>
          <w:sz w:val="20"/>
        </w:rPr>
        <w:t xml:space="preserve">6) достигнутые результаты соответствуют допустимым показателям рефракции (по соответствующим классам освидетельствования);</w:t>
      </w:r>
    </w:p>
    <w:p>
      <w:pPr>
        <w:pStyle w:val="0"/>
        <w:spacing w:before="200" w:line-rule="auto"/>
        <w:ind w:firstLine="540"/>
        <w:jc w:val="both"/>
      </w:pPr>
      <w:r>
        <w:rPr>
          <w:sz w:val="20"/>
        </w:rPr>
        <w:t xml:space="preserve">7) результаты оценки темновой адаптации, контрастной чувствительности, чувствительности к ослеплению удовлетворительные;</w:t>
      </w:r>
    </w:p>
    <w:p>
      <w:pPr>
        <w:pStyle w:val="0"/>
        <w:spacing w:before="200" w:line-rule="auto"/>
        <w:ind w:firstLine="540"/>
        <w:jc w:val="both"/>
      </w:pPr>
      <w:r>
        <w:rPr>
          <w:sz w:val="20"/>
        </w:rPr>
        <w:t xml:space="preserve">8) кандидат на получение медицинского заключения подлежит динамическому наблюдению;</w:t>
      </w:r>
    </w:p>
    <w:p>
      <w:pPr>
        <w:pStyle w:val="0"/>
        <w:spacing w:before="200" w:line-rule="auto"/>
        <w:ind w:firstLine="540"/>
        <w:jc w:val="both"/>
      </w:pPr>
      <w:r>
        <w:rPr>
          <w:sz w:val="20"/>
        </w:rPr>
        <w:t xml:space="preserve">9) медицинским учреждением, проводившим оперативное лечение, быть представлен отчет о проведенной манипуляции. Данный документ должен включать: дату и тип проведенной операции, предоперационную рефракцию и детали любых осложнений (или заключение об отсутствии осложнений).</w:t>
      </w:r>
    </w:p>
    <w:p>
      <w:pPr>
        <w:pStyle w:val="0"/>
        <w:spacing w:before="200" w:line-rule="auto"/>
        <w:ind w:firstLine="540"/>
        <w:jc w:val="both"/>
      </w:pPr>
      <w:r>
        <w:rPr>
          <w:sz w:val="20"/>
        </w:rPr>
        <w:t xml:space="preserve">289. При ФРК (фоторефракционной кератэктомии) вопрос о допуске решается не ранее чем через 3 месяца после проведенной операции (от 3 до 6 месяцев).</w:t>
      </w:r>
    </w:p>
    <w:p>
      <w:pPr>
        <w:pStyle w:val="0"/>
        <w:spacing w:before="200" w:line-rule="auto"/>
        <w:ind w:firstLine="540"/>
        <w:jc w:val="both"/>
      </w:pPr>
      <w:r>
        <w:rPr>
          <w:sz w:val="20"/>
        </w:rPr>
        <w:t xml:space="preserve">При лазерном in-situ-кератомилезе вопрос о допуске решается через 4 - 6 недель после проведенной операции.</w:t>
      </w:r>
    </w:p>
    <w:p>
      <w:pPr>
        <w:pStyle w:val="0"/>
        <w:spacing w:before="200" w:line-rule="auto"/>
        <w:ind w:firstLine="540"/>
        <w:jc w:val="both"/>
      </w:pPr>
      <w:r>
        <w:rPr>
          <w:sz w:val="20"/>
        </w:rPr>
        <w:t xml:space="preserve">При других процедурах оценка состояния здоровья кандидата на получение медицинского заключения проводится после полного восстановления.</w:t>
      </w:r>
    </w:p>
    <w:p>
      <w:pPr>
        <w:pStyle w:val="0"/>
        <w:spacing w:before="200" w:line-rule="auto"/>
        <w:ind w:firstLine="540"/>
        <w:jc w:val="both"/>
      </w:pPr>
      <w:r>
        <w:rPr>
          <w:sz w:val="20"/>
        </w:rPr>
        <w:t xml:space="preserve">290. Медицинским учреждением, проводившим оперативное лечение, должен быть представлен отчет о проведенной манипуляции. Данный отчет должен включать: полную информацию о проведенном лечении, текущем лечении, послеоперационной остроте зрения, отсутствии/наличии послеоперационных осложнений, протокол исследования периферического поля зрения.</w:t>
      </w:r>
    </w:p>
    <w:p>
      <w:pPr>
        <w:pStyle w:val="0"/>
        <w:jc w:val="both"/>
      </w:pPr>
      <w:r>
        <w:rPr>
          <w:sz w:val="20"/>
        </w:rPr>
      </w:r>
    </w:p>
    <w:p>
      <w:pPr>
        <w:pStyle w:val="2"/>
        <w:outlineLvl w:val="3"/>
        <w:jc w:val="center"/>
      </w:pPr>
      <w:r>
        <w:rPr>
          <w:sz w:val="20"/>
        </w:rPr>
        <w:t xml:space="preserve">Глаукома (H40 - H42)</w:t>
      </w:r>
    </w:p>
    <w:p>
      <w:pPr>
        <w:pStyle w:val="0"/>
        <w:jc w:val="both"/>
      </w:pPr>
      <w:r>
        <w:rPr>
          <w:sz w:val="20"/>
        </w:rPr>
      </w:r>
    </w:p>
    <w:p>
      <w:pPr>
        <w:pStyle w:val="0"/>
        <w:ind w:firstLine="540"/>
        <w:jc w:val="both"/>
      </w:pPr>
      <w:r>
        <w:rPr>
          <w:sz w:val="20"/>
        </w:rPr>
        <w:t xml:space="preserve">291. Данное заболевание является препятствием для вынесения медицинского заключения и ведет к отстранению от работы всех категорий освидетельствуемого персонала.</w:t>
      </w:r>
    </w:p>
    <w:p>
      <w:pPr>
        <w:pStyle w:val="0"/>
        <w:spacing w:before="200" w:line-rule="auto"/>
        <w:ind w:firstLine="540"/>
        <w:jc w:val="both"/>
      </w:pPr>
      <w:r>
        <w:rPr>
          <w:sz w:val="20"/>
        </w:rPr>
        <w:t xml:space="preserve">292. При подозрении на наличие глаукомы проводится дополнительное обследование в специализированном учреждении или отделении. Установленный диагноз "глаукома" требует назначения лечения.</w:t>
      </w:r>
    </w:p>
    <w:p>
      <w:pPr>
        <w:pStyle w:val="0"/>
        <w:spacing w:before="200" w:line-rule="auto"/>
        <w:ind w:firstLine="540"/>
        <w:jc w:val="both"/>
      </w:pPr>
      <w:r>
        <w:rPr>
          <w:sz w:val="20"/>
        </w:rPr>
        <w:t xml:space="preserve">293. Лица с установленным диагнозом отстраняются от работы на не менее чем 1 месяц для проведения лечебно-оздоровительных мероприятий и наблюдения. Методы терапевтического лечения определяются в индивидуальном порядке.</w:t>
      </w:r>
    </w:p>
    <w:p>
      <w:pPr>
        <w:pStyle w:val="0"/>
        <w:spacing w:before="200" w:line-rule="auto"/>
        <w:ind w:firstLine="540"/>
        <w:jc w:val="both"/>
      </w:pPr>
      <w:r>
        <w:rPr>
          <w:sz w:val="20"/>
        </w:rPr>
        <w:t xml:space="preserve">294. Категории авиационного персонала с диагнозом "первичная открытоугольная глаукома с компенсированным внутриглазным давлением (далее - ВГД)", которая эффективно контролируется с помощью медицинских препаратов, не вызывающих серьезных побочных эффектов, с удовлетворительными показателями остроты зрения и полей зрения признаются годными к работе с выдачей медицинского заключения ЦВЛЭК ГА с последующим очередным освидетельствованием ВЛЭК ГА без вынесения официального медицинского заключения.</w:t>
      </w:r>
    </w:p>
    <w:p>
      <w:pPr>
        <w:pStyle w:val="0"/>
        <w:spacing w:before="200" w:line-rule="auto"/>
        <w:ind w:firstLine="540"/>
        <w:jc w:val="both"/>
      </w:pPr>
      <w:r>
        <w:rPr>
          <w:sz w:val="20"/>
        </w:rPr>
        <w:t xml:space="preserve">295. В объем ежегодного обследования пациентов с глаукомой и внутриглазной гипертензией входят: измерение остроты зрения, измерение ВГД, биомикроскопия, исследование поля зрения, оценка побочных эффектов проводимой терапии. Также один раз в 3 месяца назначается контроль ВГД. Обязательными являются медицинские осмотры один раз в 6 месяцев.</w:t>
      </w:r>
    </w:p>
    <w:p>
      <w:pPr>
        <w:pStyle w:val="0"/>
        <w:spacing w:before="200" w:line-rule="auto"/>
        <w:ind w:firstLine="540"/>
        <w:jc w:val="both"/>
      </w:pPr>
      <w:r>
        <w:rPr>
          <w:sz w:val="20"/>
        </w:rPr>
        <w:t xml:space="preserve">296. Лица с доброкачественной внутриглазной гипертензией от работы не отстраняются.</w:t>
      </w:r>
    </w:p>
    <w:p>
      <w:pPr>
        <w:pStyle w:val="0"/>
        <w:jc w:val="both"/>
      </w:pPr>
      <w:r>
        <w:rPr>
          <w:sz w:val="20"/>
        </w:rPr>
      </w:r>
    </w:p>
    <w:p>
      <w:pPr>
        <w:pStyle w:val="2"/>
        <w:outlineLvl w:val="3"/>
        <w:jc w:val="center"/>
      </w:pPr>
      <w:r>
        <w:rPr>
          <w:sz w:val="20"/>
        </w:rPr>
        <w:t xml:space="preserve">Хирургия глаукомы. Тактика</w:t>
      </w:r>
    </w:p>
    <w:p>
      <w:pPr>
        <w:pStyle w:val="0"/>
        <w:jc w:val="both"/>
      </w:pPr>
      <w:r>
        <w:rPr>
          <w:sz w:val="20"/>
        </w:rPr>
      </w:r>
    </w:p>
    <w:p>
      <w:pPr>
        <w:pStyle w:val="0"/>
        <w:ind w:firstLine="540"/>
        <w:jc w:val="both"/>
      </w:pPr>
      <w:r>
        <w:rPr>
          <w:sz w:val="20"/>
        </w:rPr>
        <w:t xml:space="preserve">297. Вопрос о допуске к получению свидетельства решается:</w:t>
      </w:r>
    </w:p>
    <w:p>
      <w:pPr>
        <w:pStyle w:val="0"/>
        <w:spacing w:before="200" w:line-rule="auto"/>
        <w:ind w:firstLine="540"/>
        <w:jc w:val="both"/>
      </w:pPr>
      <w:r>
        <w:rPr>
          <w:sz w:val="20"/>
        </w:rPr>
        <w:t xml:space="preserve">при трабекулэктомии (или антиглаукоматозных операциях с использованием дренажных систем) - не ранее чем через 3 месяца после проведенной операции;</w:t>
      </w:r>
    </w:p>
    <w:p>
      <w:pPr>
        <w:pStyle w:val="0"/>
        <w:spacing w:before="200" w:line-rule="auto"/>
        <w:ind w:firstLine="540"/>
        <w:jc w:val="both"/>
      </w:pPr>
      <w:r>
        <w:rPr>
          <w:sz w:val="20"/>
        </w:rPr>
        <w:t xml:space="preserve">при селективной лазерной или аргонлазерной трабекулопластике - через 7 - 10 дней;</w:t>
      </w:r>
    </w:p>
    <w:p>
      <w:pPr>
        <w:pStyle w:val="0"/>
        <w:spacing w:before="200" w:line-rule="auto"/>
        <w:ind w:firstLine="540"/>
        <w:jc w:val="both"/>
      </w:pPr>
      <w:r>
        <w:rPr>
          <w:sz w:val="20"/>
        </w:rPr>
        <w:t xml:space="preserve">при других процедурах - после полного восстановления.</w:t>
      </w:r>
    </w:p>
    <w:p>
      <w:pPr>
        <w:pStyle w:val="0"/>
        <w:spacing w:before="200" w:line-rule="auto"/>
        <w:ind w:firstLine="540"/>
        <w:jc w:val="both"/>
      </w:pPr>
      <w:r>
        <w:rPr>
          <w:sz w:val="20"/>
        </w:rPr>
        <w:t xml:space="preserve">298. Медицинским учреждением, проводившим оперативное лечение, должен быть представлен отчет о проведенной манипуляции. Данный отчет должен включать полную информацию о проведенном лечении, текущем лечении, послеоперационной остроте зрения, отсутствии/наличии послеоперационных осложнений, протокол исследования периферического поля зрения.</w:t>
      </w:r>
    </w:p>
    <w:p>
      <w:pPr>
        <w:pStyle w:val="0"/>
        <w:jc w:val="both"/>
      </w:pPr>
      <w:r>
        <w:rPr>
          <w:sz w:val="20"/>
        </w:rPr>
      </w:r>
    </w:p>
    <w:p>
      <w:pPr>
        <w:pStyle w:val="2"/>
        <w:outlineLvl w:val="3"/>
        <w:jc w:val="center"/>
      </w:pPr>
      <w:r>
        <w:rPr>
          <w:sz w:val="20"/>
        </w:rPr>
        <w:t xml:space="preserve">Бинокулярные функции. Гетерофория, гетеротропия (H49 - H51)</w:t>
      </w:r>
    </w:p>
    <w:p>
      <w:pPr>
        <w:pStyle w:val="0"/>
        <w:jc w:val="both"/>
      </w:pPr>
      <w:r>
        <w:rPr>
          <w:sz w:val="20"/>
        </w:rPr>
      </w:r>
    </w:p>
    <w:p>
      <w:pPr>
        <w:pStyle w:val="0"/>
        <w:ind w:firstLine="540"/>
        <w:jc w:val="both"/>
      </w:pPr>
      <w:r>
        <w:rPr>
          <w:sz w:val="20"/>
        </w:rPr>
        <w:t xml:space="preserve">299. Кандидаты на получение медицинского заключения должны иметь полную сохранность бинокулярных функций.</w:t>
      </w:r>
    </w:p>
    <w:p>
      <w:pPr>
        <w:pStyle w:val="0"/>
        <w:spacing w:before="200" w:line-rule="auto"/>
        <w:ind w:firstLine="540"/>
        <w:jc w:val="both"/>
      </w:pPr>
      <w:r>
        <w:rPr>
          <w:sz w:val="20"/>
        </w:rPr>
        <w:t xml:space="preserve">При каждом медицинском освидетельствовании исследуется сохранность бинокулярного зрения.</w:t>
      </w:r>
    </w:p>
    <w:p>
      <w:pPr>
        <w:pStyle w:val="0"/>
        <w:spacing w:before="200" w:line-rule="auto"/>
        <w:ind w:firstLine="540"/>
        <w:jc w:val="both"/>
      </w:pPr>
      <w:r>
        <w:rPr>
          <w:sz w:val="20"/>
        </w:rPr>
        <w:t xml:space="preserve">300. Бинокулярная функция. Кандидаты на получение медицинского заключения 2 класса с гетерофорией, превышающей представленные ниже показатели, будут считаться не годными к обучению и работе:</w:t>
      </w:r>
    </w:p>
    <w:p>
      <w:pPr>
        <w:pStyle w:val="0"/>
        <w:spacing w:before="200" w:line-rule="auto"/>
        <w:ind w:firstLine="540"/>
        <w:jc w:val="both"/>
      </w:pPr>
      <w:r>
        <w:rPr>
          <w:sz w:val="20"/>
        </w:rPr>
        <w:t xml:space="preserve">1) расстояние 6 м:</w:t>
      </w:r>
    </w:p>
    <w:p>
      <w:pPr>
        <w:pStyle w:val="0"/>
        <w:spacing w:before="200" w:line-rule="auto"/>
        <w:ind w:firstLine="540"/>
        <w:jc w:val="both"/>
      </w:pPr>
      <w:r>
        <w:rPr>
          <w:sz w:val="20"/>
        </w:rPr>
        <w:t xml:space="preserve">- 2.0 призменных D по вертикали (1 градус);</w:t>
      </w:r>
    </w:p>
    <w:p>
      <w:pPr>
        <w:pStyle w:val="0"/>
        <w:spacing w:before="200" w:line-rule="auto"/>
        <w:ind w:firstLine="540"/>
        <w:jc w:val="both"/>
      </w:pPr>
      <w:r>
        <w:rPr>
          <w:sz w:val="20"/>
        </w:rPr>
        <w:t xml:space="preserve">- 10 призменных D при эзофории (5 градусов);</w:t>
      </w:r>
    </w:p>
    <w:p>
      <w:pPr>
        <w:pStyle w:val="0"/>
        <w:spacing w:before="200" w:line-rule="auto"/>
        <w:ind w:firstLine="540"/>
        <w:jc w:val="both"/>
      </w:pPr>
      <w:r>
        <w:rPr>
          <w:sz w:val="20"/>
        </w:rPr>
        <w:t xml:space="preserve">- 8.0 призменных D при экзофории (4 градуса);</w:t>
      </w:r>
    </w:p>
    <w:p>
      <w:pPr>
        <w:pStyle w:val="0"/>
        <w:spacing w:before="200" w:line-rule="auto"/>
        <w:ind w:firstLine="540"/>
        <w:jc w:val="both"/>
      </w:pPr>
      <w:r>
        <w:rPr>
          <w:sz w:val="20"/>
        </w:rPr>
        <w:t xml:space="preserve">2) расстояние 33 см:</w:t>
      </w:r>
    </w:p>
    <w:p>
      <w:pPr>
        <w:pStyle w:val="0"/>
        <w:spacing w:before="200" w:line-rule="auto"/>
        <w:ind w:firstLine="540"/>
        <w:jc w:val="both"/>
      </w:pPr>
      <w:r>
        <w:rPr>
          <w:sz w:val="20"/>
        </w:rPr>
        <w:t xml:space="preserve">- 1.0 призменный D по вертикали (0);</w:t>
      </w:r>
    </w:p>
    <w:p>
      <w:pPr>
        <w:pStyle w:val="0"/>
        <w:spacing w:before="200" w:line-rule="auto"/>
        <w:ind w:firstLine="540"/>
        <w:jc w:val="both"/>
      </w:pPr>
      <w:r>
        <w:rPr>
          <w:sz w:val="20"/>
        </w:rPr>
        <w:t xml:space="preserve">- 8.0 призменных D при эзофории (4 градуса);</w:t>
      </w:r>
    </w:p>
    <w:p>
      <w:pPr>
        <w:pStyle w:val="0"/>
        <w:spacing w:before="200" w:line-rule="auto"/>
        <w:ind w:firstLine="540"/>
        <w:jc w:val="both"/>
      </w:pPr>
      <w:r>
        <w:rPr>
          <w:sz w:val="20"/>
        </w:rPr>
        <w:t xml:space="preserve">- 12 призменных D при экзофории (6 градусов).</w:t>
      </w:r>
    </w:p>
    <w:p>
      <w:pPr>
        <w:pStyle w:val="0"/>
        <w:spacing w:before="200" w:line-rule="auto"/>
        <w:ind w:firstLine="540"/>
        <w:jc w:val="both"/>
      </w:pPr>
      <w:r>
        <w:rPr>
          <w:sz w:val="20"/>
        </w:rPr>
        <w:t xml:space="preserve">301. Кандидаты на получение медицинского заключения с наличием гетеротропии (косоглазия) должны быть признаны не годными к обучению и работе.</w:t>
      </w:r>
    </w:p>
    <w:p>
      <w:pPr>
        <w:pStyle w:val="0"/>
        <w:spacing w:before="200" w:line-rule="auto"/>
        <w:ind w:firstLine="540"/>
        <w:jc w:val="both"/>
      </w:pPr>
      <w:r>
        <w:rPr>
          <w:sz w:val="20"/>
        </w:rPr>
        <w:t xml:space="preserve">302. Вопрос о годности к обучению и работе после проведенного хирургического лечения косоглазия рассматривается не ранее чем через 6 месяцев после операции и при удовлетворительной офтальмологической оценке.</w:t>
      </w:r>
    </w:p>
    <w:p>
      <w:pPr>
        <w:pStyle w:val="0"/>
        <w:jc w:val="both"/>
      </w:pPr>
      <w:r>
        <w:rPr>
          <w:sz w:val="20"/>
        </w:rPr>
      </w:r>
    </w:p>
    <w:p>
      <w:pPr>
        <w:pStyle w:val="2"/>
        <w:outlineLvl w:val="2"/>
        <w:jc w:val="center"/>
      </w:pPr>
      <w:r>
        <w:rPr>
          <w:sz w:val="20"/>
        </w:rPr>
        <w:t xml:space="preserve">XV. Оториноларингология</w:t>
      </w:r>
    </w:p>
    <w:p>
      <w:pPr>
        <w:pStyle w:val="0"/>
        <w:jc w:val="both"/>
      </w:pPr>
      <w:r>
        <w:rPr>
          <w:sz w:val="20"/>
        </w:rPr>
      </w:r>
    </w:p>
    <w:p>
      <w:pPr>
        <w:pStyle w:val="0"/>
        <w:ind w:firstLine="540"/>
        <w:jc w:val="both"/>
      </w:pPr>
      <w:r>
        <w:rPr>
          <w:sz w:val="20"/>
        </w:rPr>
        <w:t xml:space="preserve">303. Кандидаты на получение медицинского заключения не должны иметь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предусмотренных соответствующим свидетельством (C00 - C14; C30 - C32; D10; D14; D36.1; F80.0; F98.5; F98.6; H60 - H95; J00 - J06; J30 - J39; K00 - K14; Q16; Q35 - Q37; R47 - R49; S00 - S09).</w:t>
      </w:r>
    </w:p>
    <w:p>
      <w:pPr>
        <w:pStyle w:val="0"/>
        <w:spacing w:before="200" w:line-rule="auto"/>
        <w:ind w:firstLine="540"/>
        <w:jc w:val="both"/>
      </w:pPr>
      <w:r>
        <w:rPr>
          <w:sz w:val="20"/>
        </w:rPr>
        <w:t xml:space="preserve">304. Кандидаты на получение медицинского заключения должны правильно понимать разговорную речь при тестировании на каждое ухо отдельно с расстояния не менее 2 м от спины кандидата на получение медицинского заключения до исследователя.</w:t>
      </w:r>
    </w:p>
    <w:p>
      <w:pPr>
        <w:pStyle w:val="0"/>
        <w:spacing w:before="200" w:line-rule="auto"/>
        <w:ind w:firstLine="540"/>
        <w:jc w:val="both"/>
      </w:pPr>
      <w:r>
        <w:rPr>
          <w:sz w:val="20"/>
        </w:rPr>
        <w:t xml:space="preserve">305. Кандидаты на получение медицинского заключения с потерей слуха свыше возрастной физиологической нормы, но не более 35 дБ на любой из частот 0,5 кГц, 1 кГц, 2 кГц и не более 50 дБ на частоте 3 кГц в любом ухе признаются годными к обучению и работе (H90 - H91).</w:t>
      </w:r>
    </w:p>
    <w:p>
      <w:pPr>
        <w:pStyle w:val="0"/>
        <w:spacing w:before="200" w:line-rule="auto"/>
        <w:ind w:firstLine="540"/>
        <w:jc w:val="both"/>
      </w:pPr>
      <w:r>
        <w:rPr>
          <w:sz w:val="20"/>
        </w:rPr>
        <w:t xml:space="preserve">306. Кандидаты на получение медицинского заключения с потерей слуха более 35 дБ на любой из частот 0,5 кГц, 1 кГц, 2 кГц и более 50 дБ на частоте 3 кГц в любом ухе могут быть признаны годными при благоприятном течении заболевания с ограничениями и вынесением официального медицинского заключения (H90 - H91).</w:t>
      </w:r>
    </w:p>
    <w:p>
      <w:pPr>
        <w:pStyle w:val="0"/>
        <w:spacing w:before="200" w:line-rule="auto"/>
        <w:ind w:firstLine="540"/>
        <w:jc w:val="both"/>
      </w:pPr>
      <w:r>
        <w:rPr>
          <w:sz w:val="20"/>
        </w:rPr>
        <w:t xml:space="preserve">307. Если требования к слуху могут быть удовлетворены только с использованием слуховых аппаратов, то они должны обеспечивать достаточную функцию слуха, быть хорошо переносимы и годны для выполнения кандидатами на получение медицинского заключения 2 класса профессиональных обязанностей.</w:t>
      </w:r>
    </w:p>
    <w:p>
      <w:pPr>
        <w:pStyle w:val="0"/>
        <w:spacing w:before="200" w:line-rule="auto"/>
        <w:ind w:firstLine="540"/>
        <w:jc w:val="both"/>
      </w:pPr>
      <w:r>
        <w:rPr>
          <w:sz w:val="20"/>
        </w:rPr>
        <w:t xml:space="preserve">308. При функциональном исследовании слуха кандидаты на получение медицинского заключения 2 класса должны демонстрировать удовлетворительную слуховую способность и иметь не менее 80% разборчивости речи на фоне шума на уровне не более 70 дБ.</w:t>
      </w:r>
    </w:p>
    <w:p>
      <w:pPr>
        <w:pStyle w:val="0"/>
        <w:spacing w:before="200" w:line-rule="auto"/>
        <w:ind w:firstLine="540"/>
        <w:jc w:val="both"/>
      </w:pPr>
      <w:r>
        <w:rPr>
          <w:sz w:val="20"/>
        </w:rPr>
        <w:t xml:space="preserve">309. При вынесении кандидатам на получение медицинского заключения 2 класса официального медицинского заключения проводится их аудиологическое обследование с использованием субъективных и объективных методов исследования слуха и оценкой функционального состояния слуха в объеме достаточном для решения вопроса о возможности выполнения ими профессиональных обязанностей, предусмотренных соответствующим свидетельством, в течение 2 лет. При отсутствии отрицательной динамики по слуху последующие освидетельствования проходят во ВЛЭК ГА без вынесения официального медицинского заключения.</w:t>
      </w:r>
    </w:p>
    <w:p>
      <w:pPr>
        <w:pStyle w:val="0"/>
        <w:spacing w:before="200" w:line-rule="auto"/>
        <w:ind w:firstLine="540"/>
        <w:jc w:val="both"/>
      </w:pPr>
      <w:r>
        <w:rPr>
          <w:sz w:val="20"/>
        </w:rPr>
        <w:t xml:space="preserve">310. При отсутствии стабильности в течении заболевания может потребоваться отстранение кандидата на получение медицинского заключения 2 класса от работы на полный курс лечения с последующей контрольной тональной пороговой аудиометрией и решением вопроса о его годности к выполнению предусмотренных свидетельством профессиональных обязанностей.</w:t>
      </w:r>
    </w:p>
    <w:p>
      <w:pPr>
        <w:pStyle w:val="0"/>
        <w:spacing w:before="200" w:line-rule="auto"/>
        <w:ind w:firstLine="540"/>
        <w:jc w:val="both"/>
      </w:pPr>
      <w:r>
        <w:rPr>
          <w:sz w:val="20"/>
        </w:rPr>
        <w:t xml:space="preserve">311. Кандидаты на получение медицинского заключения 2 класса, имеющие признаки клинической формы тугоухости, проходят курс профилактического лечения не реже одного раза в год.</w:t>
      </w:r>
    </w:p>
    <w:p>
      <w:pPr>
        <w:pStyle w:val="0"/>
        <w:spacing w:before="200" w:line-rule="auto"/>
        <w:ind w:firstLine="540"/>
        <w:jc w:val="both"/>
      </w:pPr>
      <w:r>
        <w:rPr>
          <w:sz w:val="20"/>
        </w:rPr>
        <w:t xml:space="preserve">312. Кандидаты на получение медицинского заключения 2 класса с установленной частичной или полной утратой профессиональной трудоспособности по профессиональному заболеванию органа слуха признаются не годными к обучению и работе (H83.3; H90.6).</w:t>
      </w:r>
    </w:p>
    <w:p>
      <w:pPr>
        <w:pStyle w:val="0"/>
        <w:spacing w:before="200" w:line-rule="auto"/>
        <w:ind w:firstLine="540"/>
        <w:jc w:val="both"/>
      </w:pPr>
      <w:r>
        <w:rPr>
          <w:sz w:val="20"/>
        </w:rPr>
        <w:t xml:space="preserve">313. Стойкие приобретенные и/или врожденные изменения полости носа и его придаточных пазух, полости рта, глотки, гортани, трахеи или уха после повреждений, заболеваний и перенесенных оперативных вмешательств с клиническими значимыми, в том числе выраженными, нарушениями функции ЛОР-органов, затрудняющими использование специального оборудования, являются основанием для заключения о негодности к работе (C00 - C14; C30 - C32; D10; D14; D36.1; F80.0; F98.5; F98.6; H60 - H95; J00 - J06; J30 - J39; K00 - K14; Q16; Q35 - Q37; R47 - R49; S00 - S09).</w:t>
      </w:r>
    </w:p>
    <w:p>
      <w:pPr>
        <w:pStyle w:val="0"/>
        <w:spacing w:before="200" w:line-rule="auto"/>
        <w:ind w:firstLine="540"/>
        <w:jc w:val="both"/>
      </w:pPr>
      <w:r>
        <w:rPr>
          <w:sz w:val="20"/>
        </w:rPr>
        <w:t xml:space="preserve">314. Кандидаты на получение медицинского заключения с активным острым и/или обострением хронического патологического процесса внутреннего и/или среднего уха должны быть оценены как не годные к обучению и работе. Оценка соответствия может рассматриваться после стабилизации состояния или полного восстановления (H65 - H83).</w:t>
      </w:r>
    </w:p>
    <w:p>
      <w:pPr>
        <w:pStyle w:val="0"/>
        <w:spacing w:before="200" w:line-rule="auto"/>
        <w:ind w:firstLine="540"/>
        <w:jc w:val="both"/>
      </w:pPr>
      <w:r>
        <w:rPr>
          <w:sz w:val="20"/>
        </w:rPr>
        <w:t xml:space="preserve">315.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являются основаниями для заключения о негодности к работе (H65 - H75).</w:t>
      </w:r>
    </w:p>
    <w:p>
      <w:pPr>
        <w:pStyle w:val="0"/>
        <w:spacing w:before="200" w:line-rule="auto"/>
        <w:ind w:firstLine="540"/>
        <w:jc w:val="both"/>
      </w:pPr>
      <w:r>
        <w:rPr>
          <w:sz w:val="20"/>
        </w:rPr>
        <w:t xml:space="preserve">316. При хроническом доброкачественно протекающем среднем отите решение о годности к работе выносится при положительных результатах лечения с учетом остроты слуха и прогноза заболевания.</w:t>
      </w:r>
    </w:p>
    <w:p>
      <w:pPr>
        <w:pStyle w:val="0"/>
        <w:spacing w:before="200" w:line-rule="auto"/>
        <w:ind w:firstLine="540"/>
        <w:jc w:val="both"/>
      </w:pPr>
      <w:r>
        <w:rPr>
          <w:sz w:val="20"/>
        </w:rPr>
        <w:t xml:space="preserve">317. После оперативных вмешательствах на внутреннем и среднем ухе при полной и стойкой эпидермизации послеоперационной полости в зависимости от объема оперативного вмешательства не ранее чем через 3 - 6 месяцев со дня операции проводится отомикроскопия, диагностическое и аудиологическое обследование с использованием субъективных и объективных методов исследования слуха и оценкой функционального состояния слуха в объеме, достаточном для решения вопроса о возможности и сохранности слуховой и барометрической функции (H65 - H83).</w:t>
      </w:r>
    </w:p>
    <w:p>
      <w:pPr>
        <w:pStyle w:val="0"/>
        <w:spacing w:before="200" w:line-rule="auto"/>
        <w:ind w:firstLine="540"/>
        <w:jc w:val="both"/>
      </w:pPr>
      <w:r>
        <w:rPr>
          <w:sz w:val="20"/>
        </w:rPr>
        <w:t xml:space="preserve">318. Перенесшие стапедопластику признаются не годными к обучению и работе (H80).</w:t>
      </w:r>
    </w:p>
    <w:p>
      <w:pPr>
        <w:pStyle w:val="0"/>
        <w:spacing w:before="200" w:line-rule="auto"/>
        <w:ind w:firstLine="540"/>
        <w:jc w:val="both"/>
      </w:pPr>
      <w:r>
        <w:rPr>
          <w:sz w:val="20"/>
        </w:rPr>
        <w:t xml:space="preserve">319. Кандидат на получение медицинского заключения 2 класса с акустической невриномой должен быть признан не годным к обучению и работе (D36.1).</w:t>
      </w:r>
    </w:p>
    <w:p>
      <w:pPr>
        <w:pStyle w:val="0"/>
        <w:spacing w:before="200" w:line-rule="auto"/>
        <w:ind w:firstLine="540"/>
        <w:jc w:val="both"/>
      </w:pPr>
      <w:r>
        <w:rPr>
          <w:sz w:val="20"/>
        </w:rPr>
        <w:t xml:space="preserve">320. Кандидаты на получение медицинского заключения с постоянной дисфункцией слуховой трубы могут быть оценены как годные с вынесением официального медицинского заключения при отсутствии осложнений, благоприятном прогнозе заболеваний и с учетом сохранности слуховой функции (H68 - H69).</w:t>
      </w:r>
    </w:p>
    <w:p>
      <w:pPr>
        <w:pStyle w:val="0"/>
        <w:spacing w:before="200" w:line-rule="auto"/>
        <w:ind w:firstLine="540"/>
        <w:jc w:val="both"/>
      </w:pPr>
      <w:r>
        <w:rPr>
          <w:sz w:val="20"/>
        </w:rPr>
        <w:t xml:space="preserve">321. Повышенная чувствительность к статокинетическим раздражителям является противопоказанием к работе. О состоянии статокинетической чувствительности у кандидата на получение медицинского заключения принимают решение по вестибулярному анамнезу, результатам вестибулометрии (исследования на вращающемся кресле).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являются основанием для установления диагноза (H81 - H82).</w:t>
      </w:r>
    </w:p>
    <w:p>
      <w:pPr>
        <w:pStyle w:val="0"/>
        <w:spacing w:before="200" w:line-rule="auto"/>
        <w:ind w:firstLine="540"/>
        <w:jc w:val="both"/>
      </w:pPr>
      <w:r>
        <w:rPr>
          <w:sz w:val="20"/>
        </w:rPr>
        <w:t xml:space="preserve">322. Доброкачественное позиционное головокружение является основанием для заключения о негодности к работе. Вопрос о повторном медицинском освидетельствовании может быть рассмотрен не ранее чем через 4 месяца после прекращения лечения и отсутствия симптомов заболевания (H81.1).</w:t>
      </w:r>
    </w:p>
    <w:p>
      <w:pPr>
        <w:pStyle w:val="0"/>
        <w:spacing w:before="200" w:line-rule="auto"/>
        <w:ind w:firstLine="540"/>
        <w:jc w:val="both"/>
      </w:pPr>
      <w:r>
        <w:rPr>
          <w:sz w:val="20"/>
        </w:rPr>
        <w:t xml:space="preserve">323. Болезнь Меньера, врожденные и/или приобретенные аномалии развития вестибулярного органа, хронические и вестибулярные нарушения, не поддающиеся консервативному и хирургическому лечению, являются основаниями для невыдачи медицинского заключения (H81.0).</w:t>
      </w:r>
    </w:p>
    <w:p>
      <w:pPr>
        <w:pStyle w:val="0"/>
        <w:spacing w:before="200" w:line-rule="auto"/>
        <w:ind w:firstLine="540"/>
        <w:jc w:val="both"/>
      </w:pPr>
      <w:r>
        <w:rPr>
          <w:sz w:val="20"/>
        </w:rPr>
        <w:t xml:space="preserve">324. При кистах и остеомах околоносовых пазух кандидаты на получение медицинского заключения 2 класса, поступающие на обучение в образовательные организации ГА, могут быть признаны годными к обучению с вынесением официального медицинского заключения при функциональной сохранности функции слуховой трубы и носового дыхания, а также благоприятном прогнозе заболевания. Пристеночное утолщение (локальное, подушкообразное) слизистой верхнечелюстных пазух не является препятствием к работе (J31 - J34).</w:t>
      </w:r>
    </w:p>
    <w:p>
      <w:pPr>
        <w:pStyle w:val="0"/>
        <w:spacing w:before="200" w:line-rule="auto"/>
        <w:ind w:firstLine="540"/>
        <w:jc w:val="both"/>
      </w:pPr>
      <w:r>
        <w:rPr>
          <w:sz w:val="20"/>
        </w:rPr>
        <w:t xml:space="preserve">325. При поллинозе, риноконьюктивальном синдроме вопрос о годности кандидатов на получение медицинского заключения 2 класса решается после вынесения заключения аллергологом (J30).</w:t>
      </w:r>
    </w:p>
    <w:p>
      <w:pPr>
        <w:pStyle w:val="0"/>
        <w:spacing w:before="200" w:line-rule="auto"/>
        <w:ind w:firstLine="540"/>
        <w:jc w:val="both"/>
      </w:pPr>
      <w:r>
        <w:rPr>
          <w:sz w:val="20"/>
        </w:rPr>
        <w:t xml:space="preserve">326. Искривление носовой перегородки с полным отсутствием или резким затруднением носового дыхания является дисквалифицирующим фактором при вынесении медицинского заключения (J34.2).</w:t>
      </w:r>
    </w:p>
    <w:p>
      <w:pPr>
        <w:pStyle w:val="0"/>
        <w:spacing w:before="200" w:line-rule="auto"/>
        <w:ind w:firstLine="540"/>
        <w:jc w:val="both"/>
      </w:pPr>
      <w:r>
        <w:rPr>
          <w:sz w:val="20"/>
        </w:rPr>
        <w:t xml:space="preserve">327. Кандидаты на получение медицинского заключения, перенесшие ринопластику, с полным восстановлением функции носового дыхания после оперативного лечения полости носа и околоносовых пазух признаются годными к работе, но не ранее чем через 2 недели после операции.</w:t>
      </w:r>
    </w:p>
    <w:p>
      <w:pPr>
        <w:pStyle w:val="0"/>
        <w:spacing w:before="200" w:line-rule="auto"/>
        <w:ind w:firstLine="540"/>
        <w:jc w:val="both"/>
      </w:pPr>
      <w:r>
        <w:rPr>
          <w:sz w:val="20"/>
        </w:rPr>
        <w:t xml:space="preserve">328. Кандидаты на получение медицинского заключения с любой дисфункцией носовых пазух должны оцениваться как не годные к обучению и работе до полного выздоровления.</w:t>
      </w:r>
    </w:p>
    <w:p>
      <w:pPr>
        <w:pStyle w:val="0"/>
        <w:spacing w:before="200" w:line-rule="auto"/>
        <w:ind w:firstLine="540"/>
        <w:jc w:val="both"/>
      </w:pPr>
      <w:r>
        <w:rPr>
          <w:sz w:val="20"/>
        </w:rPr>
        <w:t xml:space="preserve">329. Вопрос о восстановлении на работу после лечения по поводу злокачественных образований рассматривается через 2 года с учетом заключения онколога (C00 - C14; C30 - C32).</w:t>
      </w:r>
    </w:p>
    <w:p>
      <w:pPr>
        <w:pStyle w:val="0"/>
        <w:spacing w:before="200" w:line-rule="auto"/>
        <w:ind w:firstLine="540"/>
        <w:jc w:val="both"/>
      </w:pPr>
      <w:r>
        <w:rPr>
          <w:sz w:val="20"/>
        </w:rPr>
        <w:t xml:space="preserve">330. После оперативного лечения хронического тонзиллита кандидаты на получение медицинского заключения допускаются к работе при отсутствии осложнений не ранее чем через месяц после операции (J35.0).</w:t>
      </w:r>
    </w:p>
    <w:p>
      <w:pPr>
        <w:pStyle w:val="0"/>
        <w:spacing w:before="200" w:line-rule="auto"/>
        <w:ind w:firstLine="540"/>
        <w:jc w:val="both"/>
      </w:pPr>
      <w:r>
        <w:rPr>
          <w:sz w:val="20"/>
        </w:rPr>
        <w:t xml:space="preserve">331. При наличии съемных протезов функция речи оценивается при снятых протезах.</w:t>
      </w:r>
    </w:p>
    <w:p>
      <w:pPr>
        <w:pStyle w:val="0"/>
        <w:spacing w:before="200" w:line-rule="auto"/>
        <w:ind w:firstLine="540"/>
        <w:jc w:val="both"/>
      </w:pPr>
      <w:r>
        <w:rPr>
          <w:sz w:val="20"/>
        </w:rPr>
        <w:t xml:space="preserve">332. При множественном отсутствии зубов с умеренным нарушением функции жевания рекомендуется протезирование в межкомиссионный период.</w:t>
      </w:r>
    </w:p>
    <w:p>
      <w:pPr>
        <w:pStyle w:val="0"/>
        <w:spacing w:before="200" w:line-rule="auto"/>
        <w:ind w:firstLine="540"/>
        <w:jc w:val="both"/>
      </w:pPr>
      <w:r>
        <w:rPr>
          <w:sz w:val="20"/>
        </w:rPr>
        <w:t xml:space="preserve">333. Кандидаты на получение медицинского заключения 2 класса со значительным (выраженным) нарушением речи или голоса должны быть оценены как не годные к обучению и работе (F98.5; F98.6; R47 - R49).</w:t>
      </w:r>
    </w:p>
    <w:p>
      <w:pPr>
        <w:pStyle w:val="0"/>
        <w:spacing w:before="200" w:line-rule="auto"/>
        <w:ind w:firstLine="540"/>
        <w:jc w:val="both"/>
      </w:pPr>
      <w:r>
        <w:rPr>
          <w:sz w:val="20"/>
        </w:rPr>
        <w:t xml:space="preserve">334. Кандидаты на получение медицинского заключения, страдающие заиканием, косноязычием или другими дефектами речи, препятствующими ведению речевой связи, считаются не годными к работе (F98.5; F98.6; R47 - R49).</w:t>
      </w:r>
    </w:p>
    <w:p>
      <w:pPr>
        <w:pStyle w:val="0"/>
        <w:spacing w:before="200" w:line-rule="auto"/>
        <w:ind w:firstLine="540"/>
        <w:jc w:val="both"/>
      </w:pPr>
      <w:r>
        <w:rPr>
          <w:sz w:val="20"/>
        </w:rPr>
        <w:t xml:space="preserve">335. Нарушение произношения отдельных звуков, но с четкой разборчивой речью не является препятствием к работе (F80.0). Официальное медицинское заключение выносится после консультации профильных специалистов.</w:t>
      </w:r>
    </w:p>
    <w:p>
      <w:pPr>
        <w:pStyle w:val="0"/>
        <w:jc w:val="both"/>
      </w:pPr>
      <w:r>
        <w:rPr>
          <w:sz w:val="20"/>
        </w:rPr>
      </w:r>
    </w:p>
    <w:p>
      <w:pPr>
        <w:pStyle w:val="2"/>
        <w:outlineLvl w:val="2"/>
        <w:jc w:val="center"/>
      </w:pPr>
      <w:r>
        <w:rPr>
          <w:sz w:val="20"/>
        </w:rPr>
        <w:t xml:space="preserve">XVI. Дерматология (L00 - L99)</w:t>
      </w:r>
    </w:p>
    <w:p>
      <w:pPr>
        <w:pStyle w:val="0"/>
        <w:jc w:val="both"/>
      </w:pPr>
      <w:r>
        <w:rPr>
          <w:sz w:val="20"/>
        </w:rPr>
      </w:r>
    </w:p>
    <w:p>
      <w:pPr>
        <w:pStyle w:val="0"/>
        <w:ind w:firstLine="540"/>
        <w:jc w:val="both"/>
      </w:pPr>
      <w:r>
        <w:rPr>
          <w:sz w:val="20"/>
        </w:rPr>
        <w:t xml:space="preserve">336. В случае если кандидаты на получение медицинского заключения не имеют каких-либо дерматологических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337. Кожные заболевания (псориаз (L40), псориазоподобные заболевания, красный плоский лишай (L43), приобретенный ихтиоз (L85.0), врожденный ихтиоз (Q80), атопический дерматит (L20.8), простой хронический лишай и почесуха (L28), крапивница (L50), дерматит и экзема (L20 - L30), васкулиты (L95), красная волчанка (L93), другие локализованные изменения соединительной ткани, в том числе локализованная склеродермия (L94), инфекции кожи и подкожной клетчатки (L00 - L08), имеющие хроническое, часто рецидивирующее течение, распространенные формы поражения кожи, а также локализованные кожные процессы, затрудняющие ношение формы, использование специального снаряжения (уши, кисти, шея, стопы, половые органы), являются основанием для вынесения заключения о негодности к обучению и работе.</w:t>
      </w:r>
    </w:p>
    <w:p>
      <w:pPr>
        <w:pStyle w:val="0"/>
        <w:spacing w:before="200" w:line-rule="auto"/>
        <w:ind w:firstLine="540"/>
        <w:jc w:val="both"/>
      </w:pPr>
      <w:r>
        <w:rPr>
          <w:sz w:val="20"/>
        </w:rPr>
        <w:t xml:space="preserve">338. Ограниченные, редко рецидивирующие формы заболеваний кожи, легко поддающиеся лечению, являются возможным основанием для вынесения решения о годности к обучению и работе в порядке индивидуальной оценки при соответствующем заключении врача-дерматовенеролога.</w:t>
      </w:r>
    </w:p>
    <w:p>
      <w:pPr>
        <w:pStyle w:val="0"/>
        <w:spacing w:before="200" w:line-rule="auto"/>
        <w:ind w:firstLine="540"/>
        <w:jc w:val="both"/>
      </w:pPr>
      <w:r>
        <w:rPr>
          <w:sz w:val="20"/>
        </w:rPr>
        <w:t xml:space="preserve">339. Кандидаты на получение медицинского заключения, страдающие пузырчаткой (L10), признаются не годными к обучению и работе.</w:t>
      </w:r>
    </w:p>
    <w:p>
      <w:pPr>
        <w:pStyle w:val="0"/>
        <w:spacing w:before="200" w:line-rule="auto"/>
        <w:ind w:firstLine="540"/>
        <w:jc w:val="both"/>
      </w:pPr>
      <w:r>
        <w:rPr>
          <w:sz w:val="20"/>
        </w:rPr>
        <w:t xml:space="preserve">340. Оценка годности при заболеваниях придатков кожи, в том числе при угрях (L70), различных видах алопеции (L63, L66), розацеа (L71), гипертрихозе (L68), зависит от формы, степени выраженности, особенностей течения и этиологии заболевания. В том случае, когда заболевания придатков кожи имеют вторичный характер (на фоне эндокринных нарушений, аутоиммунных состояний), годность оценивается по основному заболеванию.</w:t>
      </w:r>
    </w:p>
    <w:p>
      <w:pPr>
        <w:pStyle w:val="0"/>
        <w:jc w:val="both"/>
      </w:pPr>
      <w:r>
        <w:rPr>
          <w:sz w:val="20"/>
        </w:rPr>
      </w:r>
    </w:p>
    <w:p>
      <w:pPr>
        <w:pStyle w:val="2"/>
        <w:outlineLvl w:val="2"/>
        <w:jc w:val="center"/>
      </w:pPr>
      <w:r>
        <w:rPr>
          <w:sz w:val="20"/>
        </w:rPr>
        <w:t xml:space="preserve">XVII. Онкология (C00 - D48)</w:t>
      </w:r>
    </w:p>
    <w:p>
      <w:pPr>
        <w:pStyle w:val="0"/>
        <w:jc w:val="both"/>
      </w:pPr>
      <w:r>
        <w:rPr>
          <w:sz w:val="20"/>
        </w:rPr>
      </w:r>
    </w:p>
    <w:p>
      <w:pPr>
        <w:pStyle w:val="0"/>
        <w:ind w:firstLine="540"/>
        <w:jc w:val="both"/>
      </w:pPr>
      <w:r>
        <w:rPr>
          <w:sz w:val="20"/>
        </w:rPr>
        <w:t xml:space="preserve">341. Кандидаты на получение медицинского заключения не должны иметь признаков (клинических, лабораторных, инструментальных) первичных или вторичных злокачественных поражений (C00 - C97) (подтвержденных результатами лабораторных, инструментальных и других видов обследований), препятствующих выполнению профессиональных обязанностей, предусмотренных соответствующим свидетельством.</w:t>
      </w:r>
    </w:p>
    <w:p>
      <w:pPr>
        <w:pStyle w:val="0"/>
        <w:spacing w:before="200" w:line-rule="auto"/>
        <w:ind w:firstLine="540"/>
        <w:jc w:val="both"/>
      </w:pPr>
      <w:r>
        <w:rPr>
          <w:sz w:val="20"/>
        </w:rPr>
        <w:t xml:space="preserve">342. При выявлении злокачественной опухоли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343. После проведенного специального лечения злокачественного заболевания кандидаты на получение медицинского заключения проходят обследование на основе клинических рекомендаций и с учетом стандартов медицинской помощи по профилю "онкология" перед осуществлением медицинского освидетельствования и принятием экспертного решения.</w:t>
      </w:r>
    </w:p>
    <w:p>
      <w:pPr>
        <w:pStyle w:val="0"/>
        <w:spacing w:before="200" w:line-rule="auto"/>
        <w:ind w:firstLine="540"/>
        <w:jc w:val="both"/>
      </w:pPr>
      <w:r>
        <w:rPr>
          <w:sz w:val="20"/>
        </w:rPr>
        <w:t xml:space="preserve">344. Кандидаты на получение медицинского заключения с кодами клинического диагноза по </w:t>
      </w:r>
      <w:hyperlink w:history="0" r:id="rId14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C00 - C14, C30 - C32, C47, C69 - C72, D10, D14, D36.1 рассматриваются как не годные к обучению и работе без права возобновления медицинского заключения.</w:t>
      </w:r>
    </w:p>
    <w:p>
      <w:pPr>
        <w:pStyle w:val="0"/>
        <w:spacing w:before="200" w:line-rule="auto"/>
        <w:ind w:firstLine="540"/>
        <w:jc w:val="both"/>
      </w:pPr>
      <w:r>
        <w:rPr>
          <w:sz w:val="20"/>
        </w:rPr>
        <w:t xml:space="preserve">345. При отсутствии метастазов в головной мозг, рецидивов, генерализации опухолевого процесса вопрос допуска к работе рассматривается не ранее чем через 6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стадия опухоли по классификации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с ограничением TML.</w:t>
      </w:r>
    </w:p>
    <w:p>
      <w:pPr>
        <w:pStyle w:val="0"/>
        <w:spacing w:before="200" w:line-rule="auto"/>
        <w:ind w:firstLine="540"/>
        <w:jc w:val="both"/>
      </w:pPr>
      <w:r>
        <w:rPr>
          <w:sz w:val="20"/>
        </w:rPr>
        <w:t xml:space="preserve">346. При патоморфологическом заключении рак in situ (D00 - D09) независимо от локализации опухоли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p>
      <w:pPr>
        <w:pStyle w:val="0"/>
        <w:spacing w:before="200" w:line-rule="auto"/>
        <w:ind w:firstLine="540"/>
        <w:jc w:val="both"/>
      </w:pPr>
      <w:r>
        <w:rPr>
          <w:sz w:val="20"/>
        </w:rPr>
        <w:t xml:space="preserve">347. При выявлении доброкачественной опухоли (D10 - D36) оценивается возможность безопасного выполнения профессиональных обязанностей, предусмотренных соответствующим свидетельством, с рекомендацией лечения в плановом порядке. Сроки допуска к работе после удаления доброкачественных опухолей определяются масштабами операций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p>
      <w:pPr>
        <w:pStyle w:val="0"/>
        <w:spacing w:before="200" w:line-rule="auto"/>
        <w:ind w:firstLine="540"/>
        <w:jc w:val="both"/>
      </w:pPr>
      <w:r>
        <w:rPr>
          <w:sz w:val="20"/>
        </w:rPr>
        <w:t xml:space="preserve">348. Доброкачественные опухоли, а также костно-хрящевые экзостозы, узловой зоб (E05.2, E01.1, E4.9), кистозные новообразования, аденома предстательной железы (N40), мастопатии (N60) оцениваются по степени нарушения функций органов и болевого синдрома. Доброкачественные опухоли небольших размеров без тенденции к росту, не мешающие ношению одежды и обуви, не являются основанием для отказа в выдаче медицинского заключения.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Порядку</w:t>
      </w:r>
    </w:p>
    <w:p>
      <w:pPr>
        <w:pStyle w:val="0"/>
        <w:jc w:val="both"/>
      </w:pPr>
      <w:r>
        <w:rPr>
          <w:sz w:val="20"/>
        </w:rPr>
      </w:r>
    </w:p>
    <w:bookmarkStart w:id="2505" w:name="P2505"/>
    <w:bookmarkEnd w:id="2505"/>
    <w:p>
      <w:pPr>
        <w:pStyle w:val="2"/>
        <w:jc w:val="center"/>
      </w:pPr>
      <w:r>
        <w:rPr>
          <w:sz w:val="20"/>
        </w:rPr>
        <w:t xml:space="preserve">ТРЕБОВАНИЯ</w:t>
      </w:r>
    </w:p>
    <w:p>
      <w:pPr>
        <w:pStyle w:val="2"/>
        <w:jc w:val="center"/>
      </w:pPr>
      <w:r>
        <w:rPr>
          <w:sz w:val="20"/>
        </w:rPr>
        <w:t xml:space="preserve">К СОСТОЯНИЮ ЗДОРОВЬЯ, ПРЕДЪЯВЛЯЕМЫЕ К КАНДИДАТУ НА ПОЛУЧЕНИЕ</w:t>
      </w:r>
    </w:p>
    <w:p>
      <w:pPr>
        <w:pStyle w:val="2"/>
        <w:jc w:val="center"/>
      </w:pPr>
      <w:r>
        <w:rPr>
          <w:sz w:val="20"/>
        </w:rPr>
        <w:t xml:space="preserve">МЕДИЦИНСКОГО ЗАКЛЮЧЕНИЯ 3 КЛАССА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jc w:val="center"/>
      </w:pPr>
      <w:r>
        <w:rPr>
          <w:sz w:val="20"/>
        </w:rPr>
        <w:t xml:space="preserve">I. Сердечно-сосудистая система</w:t>
      </w:r>
    </w:p>
    <w:p>
      <w:pPr>
        <w:pStyle w:val="0"/>
        <w:jc w:val="both"/>
      </w:pPr>
      <w:r>
        <w:rPr>
          <w:sz w:val="20"/>
        </w:rPr>
      </w:r>
    </w:p>
    <w:p>
      <w:pPr>
        <w:pStyle w:val="2"/>
        <w:outlineLvl w:val="3"/>
        <w:jc w:val="center"/>
      </w:pPr>
      <w:r>
        <w:rPr>
          <w:sz w:val="20"/>
        </w:rPr>
        <w:t xml:space="preserve">Стенокардия. Безболевая ишемия миокарда (I20)</w:t>
      </w:r>
    </w:p>
    <w:p>
      <w:pPr>
        <w:pStyle w:val="0"/>
        <w:jc w:val="both"/>
      </w:pPr>
      <w:r>
        <w:rPr>
          <w:sz w:val="20"/>
        </w:rPr>
      </w:r>
    </w:p>
    <w:p>
      <w:pPr>
        <w:pStyle w:val="0"/>
        <w:ind w:firstLine="540"/>
        <w:jc w:val="both"/>
      </w:pPr>
      <w:r>
        <w:rPr>
          <w:sz w:val="20"/>
        </w:rPr>
        <w:t xml:space="preserve">1. Кандидаты на получение медицинского заключения 3 класса при подозрении на ишемию миокарда подлежат кардиологическому обследованию.</w:t>
      </w:r>
    </w:p>
    <w:p>
      <w:pPr>
        <w:pStyle w:val="0"/>
        <w:spacing w:before="200" w:line-rule="auto"/>
        <w:ind w:firstLine="540"/>
        <w:jc w:val="both"/>
      </w:pPr>
      <w:r>
        <w:rPr>
          <w:sz w:val="20"/>
        </w:rPr>
        <w:t xml:space="preserve">Кандидаты на получение медицинского заключения 3 класса с установленным диагнозом стенокардии либо с выявленными безболевыми формами ишемии миокарда признаются не годными к обучению и работе.</w:t>
      </w:r>
    </w:p>
    <w:p>
      <w:pPr>
        <w:pStyle w:val="0"/>
        <w:spacing w:before="200" w:line-rule="auto"/>
        <w:ind w:firstLine="540"/>
        <w:jc w:val="both"/>
      </w:pPr>
      <w:r>
        <w:rPr>
          <w:sz w:val="20"/>
        </w:rPr>
        <w:t xml:space="preserve">Кандидаты на получение медицинского заключения 3 класса признаются годными к обучению и работе в случае отсутствия у них функциональных или любых других структурных органических заболеваний сердечно-сосудистой системы, препятствующих безопасному выполнению функций, предусмотренных соответствующим свидетельством.</w:t>
      </w:r>
    </w:p>
    <w:p>
      <w:pPr>
        <w:pStyle w:val="0"/>
        <w:jc w:val="both"/>
      </w:pPr>
      <w:r>
        <w:rPr>
          <w:sz w:val="20"/>
        </w:rPr>
        <w:t xml:space="preserve">(абзац введен </w:t>
      </w:r>
      <w:hyperlink w:history="0" r:id="rId14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jc w:val="both"/>
      </w:pPr>
      <w:r>
        <w:rPr>
          <w:sz w:val="20"/>
        </w:rPr>
      </w:r>
    </w:p>
    <w:p>
      <w:pPr>
        <w:pStyle w:val="2"/>
        <w:outlineLvl w:val="3"/>
        <w:jc w:val="center"/>
      </w:pPr>
      <w:r>
        <w:rPr>
          <w:sz w:val="20"/>
        </w:rPr>
        <w:t xml:space="preserve">Инфаркт миокарда, другие ишемические кардиальные</w:t>
      </w:r>
    </w:p>
    <w:p>
      <w:pPr>
        <w:pStyle w:val="2"/>
        <w:jc w:val="center"/>
      </w:pPr>
      <w:r>
        <w:rPr>
          <w:sz w:val="20"/>
        </w:rPr>
        <w:t xml:space="preserve">события, процедура реваскуляризации, атеросклеротическое</w:t>
      </w:r>
    </w:p>
    <w:p>
      <w:pPr>
        <w:pStyle w:val="2"/>
        <w:jc w:val="center"/>
      </w:pPr>
      <w:r>
        <w:rPr>
          <w:sz w:val="20"/>
        </w:rPr>
        <w:t xml:space="preserve">поражение коронарных артерий (I21 - I25)</w:t>
      </w:r>
    </w:p>
    <w:p>
      <w:pPr>
        <w:pStyle w:val="0"/>
        <w:jc w:val="both"/>
      </w:pPr>
      <w:r>
        <w:rPr>
          <w:sz w:val="20"/>
        </w:rPr>
      </w:r>
    </w:p>
    <w:p>
      <w:pPr>
        <w:pStyle w:val="0"/>
        <w:ind w:firstLine="540"/>
        <w:jc w:val="both"/>
      </w:pPr>
      <w:r>
        <w:rPr>
          <w:sz w:val="20"/>
        </w:rPr>
        <w:t xml:space="preserve">2. Освидетельствование кандидатов на получение медицинского заключения 3 класса проводится не ранее чем через 6 месяцев после индексного события (острый коронарный синдром, инфаркт миокарда, процедура реваскуляризации при известном заболевании коронарной артерии - эндоваскулярное стентирование или шунтирование).</w:t>
      </w:r>
    </w:p>
    <w:p>
      <w:pPr>
        <w:pStyle w:val="0"/>
        <w:spacing w:before="200" w:line-rule="auto"/>
        <w:ind w:firstLine="540"/>
        <w:jc w:val="both"/>
      </w:pPr>
      <w:r>
        <w:rPr>
          <w:sz w:val="20"/>
        </w:rPr>
        <w:t xml:space="preserve">3. Медицинское заключение 3 класса не выдается:</w:t>
      </w:r>
    </w:p>
    <w:p>
      <w:pPr>
        <w:pStyle w:val="0"/>
        <w:spacing w:before="200" w:line-rule="auto"/>
        <w:ind w:firstLine="540"/>
        <w:jc w:val="both"/>
      </w:pPr>
      <w:r>
        <w:rPr>
          <w:sz w:val="20"/>
        </w:rPr>
        <w:t xml:space="preserve">при наличии любых клинических проявлений ишемической болезни сердца, включая бессимптомную ишемию миокарда;</w:t>
      </w:r>
    </w:p>
    <w:p>
      <w:pPr>
        <w:pStyle w:val="0"/>
        <w:spacing w:before="200" w:line-rule="auto"/>
        <w:ind w:firstLine="540"/>
        <w:jc w:val="both"/>
      </w:pPr>
      <w:r>
        <w:rPr>
          <w:sz w:val="20"/>
        </w:rPr>
        <w:t xml:space="preserve">при необходимости приема медикаментозных препаратов, назначаемых для купирования симптомов ишемической болезни сердца, за исключением бета-адреноблокаторов;</w:t>
      </w:r>
    </w:p>
    <w:p>
      <w:pPr>
        <w:pStyle w:val="0"/>
        <w:spacing w:before="200" w:line-rule="auto"/>
        <w:ind w:firstLine="540"/>
        <w:jc w:val="both"/>
      </w:pPr>
      <w:r>
        <w:rPr>
          <w:sz w:val="20"/>
        </w:rPr>
        <w:t xml:space="preserve">при наличии любого нереваскуляризованного стеноза коронарных артерий &gt;= 50% со следующей локализацией: передняя межжелудочковая артерия, огибающая артерия, задняя межжелудочковая артерия, правая коронарная артерия;</w:t>
      </w:r>
    </w:p>
    <w:p>
      <w:pPr>
        <w:pStyle w:val="0"/>
        <w:spacing w:before="200" w:line-rule="auto"/>
        <w:ind w:firstLine="540"/>
        <w:jc w:val="both"/>
      </w:pPr>
      <w:r>
        <w:rPr>
          <w:sz w:val="20"/>
        </w:rPr>
        <w:t xml:space="preserve">при наличии желудочковой экстрасистолии 4б и 5 градации по B.Lown и M.Wolf, желудочковой тахикардии;</w:t>
      </w:r>
    </w:p>
    <w:p>
      <w:pPr>
        <w:pStyle w:val="0"/>
        <w:spacing w:before="200" w:line-rule="auto"/>
        <w:ind w:firstLine="540"/>
        <w:jc w:val="both"/>
      </w:pPr>
      <w:r>
        <w:rPr>
          <w:sz w:val="20"/>
        </w:rPr>
        <w:t xml:space="preserve">при невозможности достижения нагрузки, соответствующей стадии IV протокола Брюса на тредмиле, или ее эквивалента;</w:t>
      </w:r>
    </w:p>
    <w:p>
      <w:pPr>
        <w:pStyle w:val="0"/>
        <w:spacing w:before="200" w:line-rule="auto"/>
        <w:ind w:firstLine="540"/>
        <w:jc w:val="both"/>
      </w:pPr>
      <w:r>
        <w:rPr>
          <w:sz w:val="20"/>
        </w:rPr>
        <w:t xml:space="preserve">при наличии одного из следующих параметров при визуализации сердца по данным эхокардиографии (далее обозначается как значимая структурная патология сердца):</w:t>
      </w:r>
    </w:p>
    <w:p>
      <w:pPr>
        <w:pStyle w:val="0"/>
        <w:spacing w:before="200" w:line-rule="auto"/>
        <w:ind w:firstLine="540"/>
        <w:jc w:val="both"/>
      </w:pPr>
      <w:r>
        <w:rPr>
          <w:sz w:val="20"/>
        </w:rPr>
        <w:t xml:space="preserve">для мужчин - толщина межжелудочковой перегородки (МЖП) и задней стенки левого желудочка (ЗСЛЖ) &gt;= 1,4 см и/или масса миокарда левого желудочка (ММЛЖ) &gt;= 259 г и/или индекс ММЛЖ/площадь поверхности тела (ППТ) &gt;= 132 г/м</w:t>
      </w:r>
      <w:r>
        <w:rPr>
          <w:sz w:val="20"/>
          <w:vertAlign w:val="superscript"/>
        </w:rPr>
        <w:t xml:space="preserve">2</w:t>
      </w:r>
      <w:r>
        <w:rPr>
          <w:sz w:val="20"/>
        </w:rPr>
        <w:t xml:space="preserve">; конечно-диастолический размер ЛЖ (КДР ЛЖ) &gt;= 6,4 см и/или и индекс КДР/ППТ &gt;= 3,5 см/м</w:t>
      </w:r>
      <w:r>
        <w:rPr>
          <w:sz w:val="20"/>
          <w:vertAlign w:val="superscript"/>
        </w:rPr>
        <w:t xml:space="preserve">2</w:t>
      </w:r>
      <w:r>
        <w:rPr>
          <w:sz w:val="20"/>
        </w:rPr>
        <w:t xml:space="preserve">; фракция выброса ЛЖ (формула Симпсона) &lt;= 54%.</w:t>
      </w:r>
    </w:p>
    <w:p>
      <w:pPr>
        <w:pStyle w:val="0"/>
        <w:spacing w:before="200" w:line-rule="auto"/>
        <w:ind w:firstLine="540"/>
        <w:jc w:val="both"/>
      </w:pPr>
      <w:r>
        <w:rPr>
          <w:sz w:val="20"/>
        </w:rPr>
        <w:t xml:space="preserve">для женщин - толщина межжелудочковой перегородки (МЖП) и задней стенки левого желудочка (ЗСЛЖ) &gt;= 1,3 см и/или масса миокарда левого желудочка (ММЛЖ) &gt;= 210 г и/или индекс ММЛЖ/площадь поверхности тела (ППТ) &gt;= 109 г/м</w:t>
      </w:r>
      <w:r>
        <w:rPr>
          <w:sz w:val="20"/>
          <w:vertAlign w:val="superscript"/>
        </w:rPr>
        <w:t xml:space="preserve">2</w:t>
      </w:r>
      <w:r>
        <w:rPr>
          <w:sz w:val="20"/>
        </w:rPr>
        <w:t xml:space="preserve">; конечно-диастолический размер ЛЖ (КДР ЛЖ) &gt;= 5,8 см и/или и индекс КДР/ППТ &gt;= 3,5 см/м</w:t>
      </w:r>
      <w:r>
        <w:rPr>
          <w:sz w:val="20"/>
          <w:vertAlign w:val="superscript"/>
        </w:rPr>
        <w:t xml:space="preserve">2</w:t>
      </w:r>
      <w:r>
        <w:rPr>
          <w:sz w:val="20"/>
        </w:rPr>
        <w:t xml:space="preserve">; фракция выброса ЛЖ (формула Симпсона) &lt;= 54%.</w:t>
      </w:r>
    </w:p>
    <w:p>
      <w:pPr>
        <w:pStyle w:val="0"/>
        <w:spacing w:before="200" w:line-rule="auto"/>
        <w:ind w:firstLine="540"/>
        <w:jc w:val="both"/>
      </w:pPr>
      <w:r>
        <w:rPr>
          <w:sz w:val="20"/>
        </w:rPr>
        <w:t xml:space="preserve">4. Выдача медицинского заключения 3 класса допускается в том случае, если кандидаты на получение медицинского заключения 3 класса минимизировали все корригируемые факторы сердечно-сосудистого риска (дислипидемия - до уровня ХС &lt; 5 ммоль/л, ЛПНП &lt; 3 ммоль/л, артериальная гипертензия - до уровня АД &lt; 140/90 мм рт. ст., гипергликемия - до уровня гликированного гемоглобина (HbAlc) &lt; 7%, снижение функции почек - до уровня СКФ &gt;= 60 мл/мин/1,73 м</w:t>
      </w:r>
      <w:r>
        <w:rPr>
          <w:sz w:val="20"/>
          <w:vertAlign w:val="superscript"/>
        </w:rPr>
        <w:t xml:space="preserve">2</w:t>
      </w:r>
      <w:r>
        <w:rPr>
          <w:sz w:val="20"/>
        </w:rPr>
        <w:t xml:space="preserve">, ожирение - снижение ИМТ &lt; 30 кг/м</w:t>
      </w:r>
      <w:r>
        <w:rPr>
          <w:sz w:val="20"/>
          <w:vertAlign w:val="superscript"/>
        </w:rPr>
        <w:t xml:space="preserve">2</w:t>
      </w:r>
      <w:r>
        <w:rPr>
          <w:sz w:val="20"/>
        </w:rPr>
        <w:t xml:space="preserve">, гиперурикемия - до уровня мочевой кислоты &lt;= 360 мкмоль/л у женщин, &lt;= 420 мкмоль/л у мужчин, курение - полный отказ от курения) до приемлемого уровня и проходят регулярные (минимум 1 раз в год) кардиологические обследования.</w:t>
      </w:r>
    </w:p>
    <w:p>
      <w:pPr>
        <w:pStyle w:val="0"/>
        <w:jc w:val="both"/>
      </w:pPr>
      <w:r>
        <w:rPr>
          <w:sz w:val="20"/>
        </w:rPr>
      </w:r>
    </w:p>
    <w:p>
      <w:pPr>
        <w:pStyle w:val="2"/>
        <w:outlineLvl w:val="3"/>
        <w:jc w:val="center"/>
      </w:pPr>
      <w:r>
        <w:rPr>
          <w:sz w:val="20"/>
        </w:rPr>
        <w:t xml:space="preserve">Нарушения ритма сердца и проводимости сердца</w:t>
      </w:r>
    </w:p>
    <w:p>
      <w:pPr>
        <w:pStyle w:val="2"/>
        <w:jc w:val="center"/>
      </w:pPr>
      <w:r>
        <w:rPr>
          <w:sz w:val="20"/>
        </w:rPr>
        <w:t xml:space="preserve">Предсердная экстрасистолия (I49.1 - I49.2)</w:t>
      </w:r>
    </w:p>
    <w:p>
      <w:pPr>
        <w:pStyle w:val="0"/>
        <w:jc w:val="both"/>
      </w:pPr>
      <w:r>
        <w:rPr>
          <w:sz w:val="20"/>
        </w:rPr>
      </w:r>
    </w:p>
    <w:p>
      <w:pPr>
        <w:pStyle w:val="0"/>
        <w:ind w:firstLine="540"/>
        <w:jc w:val="both"/>
      </w:pPr>
      <w:r>
        <w:rPr>
          <w:sz w:val="20"/>
        </w:rPr>
        <w:t xml:space="preserve">5. Наджелудочковая экстрасистолия не является основанием для вынесения решения о негодности к обучению и работе, за исключением ее симптомного течения или при индукции наджелудочковыми экстрасистолами пароксизмальных наджелудочковых нарушений ритма сердца, выявленных при проведении кардиологического обследования и подразумевающих вынесение решения о негодности к обучению и работе.</w:t>
      </w:r>
    </w:p>
    <w:p>
      <w:pPr>
        <w:pStyle w:val="0"/>
        <w:jc w:val="both"/>
      </w:pPr>
      <w:r>
        <w:rPr>
          <w:sz w:val="20"/>
        </w:rPr>
      </w:r>
    </w:p>
    <w:p>
      <w:pPr>
        <w:pStyle w:val="2"/>
        <w:outlineLvl w:val="3"/>
        <w:jc w:val="center"/>
      </w:pPr>
      <w:r>
        <w:rPr>
          <w:sz w:val="20"/>
        </w:rPr>
        <w:t xml:space="preserve">Желудочковая экстрасистолия и желудочковая тахикардия</w:t>
      </w:r>
    </w:p>
    <w:p>
      <w:pPr>
        <w:pStyle w:val="2"/>
        <w:jc w:val="center"/>
      </w:pPr>
      <w:r>
        <w:rPr>
          <w:sz w:val="20"/>
        </w:rPr>
        <w:t xml:space="preserve">(I49.3, I47.0, I47.2)</w:t>
      </w:r>
    </w:p>
    <w:p>
      <w:pPr>
        <w:pStyle w:val="0"/>
        <w:jc w:val="both"/>
      </w:pPr>
      <w:r>
        <w:rPr>
          <w:sz w:val="20"/>
        </w:rPr>
      </w:r>
    </w:p>
    <w:p>
      <w:pPr>
        <w:pStyle w:val="0"/>
        <w:ind w:firstLine="540"/>
        <w:jc w:val="both"/>
      </w:pPr>
      <w:r>
        <w:rPr>
          <w:sz w:val="20"/>
        </w:rPr>
        <w:t xml:space="preserve">6. Бессимптомная желудочковая экстрасистолия 1 градации по B.Lown и M.Wolf в модификации M.Ryan (менее 5 экстрасистол в минуту по данным ЭКГ и менее 30 экстрасистол в час при мониторировании суточной ЭКГ) не является основанием для вынесения решения о негодности и проведения кардиологического обследования.</w:t>
      </w:r>
    </w:p>
    <w:p>
      <w:pPr>
        <w:pStyle w:val="0"/>
        <w:spacing w:before="200" w:line-rule="auto"/>
        <w:ind w:firstLine="540"/>
        <w:jc w:val="both"/>
      </w:pPr>
      <w:r>
        <w:rPr>
          <w:sz w:val="20"/>
        </w:rPr>
        <w:t xml:space="preserve">7. Кандидаты на получение медицинского заключения 3 класса с желудочковыми экстрасистолами 2, 3 и 4а - б градаций по B.Lown и M.Wolf в модификации M. Ryan подлежат кардиологическому обследованию.</w:t>
      </w:r>
    </w:p>
    <w:p>
      <w:pPr>
        <w:pStyle w:val="0"/>
        <w:spacing w:before="200" w:line-rule="auto"/>
        <w:ind w:firstLine="540"/>
        <w:jc w:val="both"/>
      </w:pPr>
      <w:r>
        <w:rPr>
          <w:sz w:val="20"/>
        </w:rPr>
        <w:t xml:space="preserve">8. Кандидатам на получение медицинского заключения 3 класса с эпизодами желудочковой экстрасистолии 5 градации по B.Lown и M.Wolf в модификации M.Ryan, эпизодами желудочковой тахикардии после подтверждения диагноза в ходе кардиологического обследования выносится решение о негодности к обучению и работе.</w:t>
      </w:r>
    </w:p>
    <w:p>
      <w:pPr>
        <w:pStyle w:val="0"/>
        <w:jc w:val="both"/>
      </w:pPr>
      <w:r>
        <w:rPr>
          <w:sz w:val="20"/>
        </w:rPr>
      </w:r>
    </w:p>
    <w:p>
      <w:pPr>
        <w:pStyle w:val="2"/>
        <w:outlineLvl w:val="3"/>
        <w:jc w:val="center"/>
      </w:pPr>
      <w:r>
        <w:rPr>
          <w:sz w:val="20"/>
        </w:rPr>
        <w:t xml:space="preserve">Заболевание синоатриального узла (синдром слабости</w:t>
      </w:r>
    </w:p>
    <w:p>
      <w:pPr>
        <w:pStyle w:val="2"/>
        <w:jc w:val="center"/>
      </w:pPr>
      <w:r>
        <w:rPr>
          <w:sz w:val="20"/>
        </w:rPr>
        <w:t xml:space="preserve">синусового узла) (I49.5)</w:t>
      </w:r>
    </w:p>
    <w:p>
      <w:pPr>
        <w:pStyle w:val="0"/>
        <w:jc w:val="both"/>
      </w:pPr>
      <w:r>
        <w:rPr>
          <w:sz w:val="20"/>
        </w:rPr>
      </w:r>
    </w:p>
    <w:p>
      <w:pPr>
        <w:pStyle w:val="0"/>
        <w:ind w:firstLine="540"/>
        <w:jc w:val="both"/>
      </w:pPr>
      <w:r>
        <w:rPr>
          <w:sz w:val="20"/>
        </w:rPr>
        <w:t xml:space="preserve">9. Кандидаты на получение медицинского заключения 3 класса с выявленными проявлениями патологии синоатриального узла (синусовые паузы &gt;= 2,0 сек., синусовая брадикардия в покое днем с частотой сердечных сокращений (ЧСС) &lt;= 40 уд/мин, ночью &lt;= 30 уд/мин, невозможность достижения 80% субмаксимальной ЧСС, рассчитанной по формуле 220 - возраст) подлежат кардиологическому обследованию.</w:t>
      </w:r>
    </w:p>
    <w:p>
      <w:pPr>
        <w:pStyle w:val="0"/>
        <w:spacing w:before="200" w:line-rule="auto"/>
        <w:ind w:firstLine="540"/>
        <w:jc w:val="both"/>
      </w:pPr>
      <w:r>
        <w:rPr>
          <w:sz w:val="20"/>
        </w:rPr>
        <w:t xml:space="preserve">10. Медицинское заключение 3 класса не выдается:</w:t>
      </w:r>
    </w:p>
    <w:p>
      <w:pPr>
        <w:pStyle w:val="0"/>
        <w:spacing w:before="200" w:line-rule="auto"/>
        <w:ind w:firstLine="540"/>
        <w:jc w:val="both"/>
      </w:pPr>
      <w:r>
        <w:rPr>
          <w:sz w:val="20"/>
        </w:rPr>
        <w:t xml:space="preserve">при наличии синусовых пауз &gt;= 3,0 сек 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11. Не являются основаниями для вынесения решения о негодности к обучению и работе после кардиологического обследования бессимптоматическая синусовая брадикардия и наличие бессимптомных синусовых пауз &lt;= 3,0 сек при отсутствии значимой структурной патологии сердца и отсутствии клинических проявлений, выявленных при проведении кардиологического обследования. Допускается выдача медицинского заключения 3 класса.</w:t>
      </w:r>
    </w:p>
    <w:p>
      <w:pPr>
        <w:pStyle w:val="0"/>
        <w:jc w:val="both"/>
      </w:pPr>
      <w:r>
        <w:rPr>
          <w:sz w:val="20"/>
        </w:rPr>
      </w:r>
    </w:p>
    <w:p>
      <w:pPr>
        <w:pStyle w:val="2"/>
        <w:outlineLvl w:val="3"/>
        <w:jc w:val="center"/>
      </w:pPr>
      <w:r>
        <w:rPr>
          <w:sz w:val="20"/>
        </w:rPr>
        <w:t xml:space="preserve">Предсердная тахиаритмия (I47.1)</w:t>
      </w:r>
    </w:p>
    <w:p>
      <w:pPr>
        <w:pStyle w:val="0"/>
        <w:jc w:val="both"/>
      </w:pPr>
      <w:r>
        <w:rPr>
          <w:sz w:val="20"/>
        </w:rPr>
      </w:r>
    </w:p>
    <w:p>
      <w:pPr>
        <w:pStyle w:val="0"/>
        <w:ind w:firstLine="540"/>
        <w:jc w:val="both"/>
      </w:pPr>
      <w:r>
        <w:rPr>
          <w:sz w:val="20"/>
        </w:rPr>
        <w:t xml:space="preserve">12. Кандидаты на получение медицинского заключения 3 класса с выявленными эпизодами предсердной тахиаритмии подлежат кардиологическому обследованию.</w:t>
      </w:r>
    </w:p>
    <w:p>
      <w:pPr>
        <w:pStyle w:val="0"/>
        <w:spacing w:before="200" w:line-rule="auto"/>
        <w:ind w:firstLine="540"/>
        <w:jc w:val="both"/>
      </w:pPr>
      <w:r>
        <w:rPr>
          <w:sz w:val="20"/>
        </w:rPr>
        <w:t xml:space="preserve">13. При выявлении у кандидатов на получение медицинского заключения 3 класса эпизодов пароксизмальной синусовой или предсердной (фокусной) тахиаритмии медицинское заключение 3 класса не выдается:</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при продолжительности пароксизмов более 30 сек. и ЧСС более 150 уд/мин.</w:t>
      </w:r>
    </w:p>
    <w:p>
      <w:pPr>
        <w:pStyle w:val="0"/>
        <w:jc w:val="both"/>
      </w:pPr>
      <w:r>
        <w:rPr>
          <w:sz w:val="20"/>
        </w:rPr>
      </w:r>
    </w:p>
    <w:p>
      <w:pPr>
        <w:pStyle w:val="2"/>
        <w:outlineLvl w:val="3"/>
        <w:jc w:val="center"/>
      </w:pPr>
      <w:r>
        <w:rPr>
          <w:sz w:val="20"/>
        </w:rPr>
        <w:t xml:space="preserve">Фибрилляция предсердия и трепетание предсердий (I48)</w:t>
      </w:r>
    </w:p>
    <w:p>
      <w:pPr>
        <w:pStyle w:val="0"/>
        <w:jc w:val="both"/>
      </w:pPr>
      <w:r>
        <w:rPr>
          <w:sz w:val="20"/>
        </w:rPr>
      </w:r>
    </w:p>
    <w:p>
      <w:pPr>
        <w:pStyle w:val="0"/>
        <w:ind w:firstLine="540"/>
        <w:jc w:val="both"/>
      </w:pPr>
      <w:r>
        <w:rPr>
          <w:sz w:val="20"/>
        </w:rPr>
        <w:t xml:space="preserve">14. При выявлении у кандидатов на получение медицинского заключения во время освидетельствования или в анамнезе эпизодов фибрилляции предсердий/трепетания предсердий, медицинское заключение не выдается:</w:t>
      </w:r>
    </w:p>
    <w:p>
      <w:pPr>
        <w:pStyle w:val="0"/>
        <w:spacing w:before="200" w:line-rule="auto"/>
        <w:ind w:firstLine="540"/>
        <w:jc w:val="both"/>
      </w:pPr>
      <w:r>
        <w:rPr>
          <w:sz w:val="20"/>
        </w:rPr>
        <w:t xml:space="preserve">при значимой структурной патологии сердца;</w:t>
      </w:r>
    </w:p>
    <w:p>
      <w:pPr>
        <w:pStyle w:val="0"/>
        <w:spacing w:before="200" w:line-rule="auto"/>
        <w:ind w:firstLine="540"/>
        <w:jc w:val="both"/>
      </w:pPr>
      <w:r>
        <w:rPr>
          <w:sz w:val="20"/>
        </w:rPr>
        <w:t xml:space="preserve">при наличии транзиторной ишемической атаки и/или ишемического инсульта в анамнезе;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при наличии фибрилляции предсердий/трепетания предсердий при трехкратном суточном мониторировании ЭКГ, выполненном с регулярной периодичностью в течение 3 месяцев.</w:t>
      </w:r>
    </w:p>
    <w:p>
      <w:pPr>
        <w:pStyle w:val="0"/>
        <w:spacing w:before="200" w:line-rule="auto"/>
        <w:ind w:firstLine="540"/>
        <w:jc w:val="both"/>
      </w:pPr>
      <w:r>
        <w:rPr>
          <w:sz w:val="20"/>
        </w:rPr>
        <w:t xml:space="preserve">15. Выдача медицинского заключения допускается, если кандидат на получение медицинского заключения 3 класса минимизировал все корригируемые факторы сердечно-сосудистого риска до приемлемого уровня и регулярно (минимум один раз в год) проходит кардиологическое обследование, а также в случае потребности регулярно получает разрешенную медикаментозную терапию.</w:t>
      </w:r>
    </w:p>
    <w:p>
      <w:pPr>
        <w:pStyle w:val="0"/>
        <w:spacing w:before="200" w:line-rule="auto"/>
        <w:ind w:firstLine="540"/>
        <w:jc w:val="both"/>
      </w:pPr>
      <w:r>
        <w:rPr>
          <w:sz w:val="20"/>
        </w:rPr>
        <w:t xml:space="preserve">16. При проведении эндоваскулярного хирургического лечения фибрилляции предсердий/трепетания предсердий заключение 3 класса может быть выдано не ранее чем через 6 месяцев при отмене антиаритмической и антикоагулянтной терапии.</w:t>
      </w:r>
    </w:p>
    <w:p>
      <w:pPr>
        <w:pStyle w:val="0"/>
        <w:spacing w:before="200" w:line-rule="auto"/>
        <w:ind w:firstLine="540"/>
        <w:jc w:val="both"/>
      </w:pPr>
      <w:r>
        <w:rPr>
          <w:sz w:val="20"/>
        </w:rPr>
        <w:t xml:space="preserve">17. Необходимо соблюдение следующих условий для выдачи медицинского заключения 3 класса:</w:t>
      </w:r>
    </w:p>
    <w:p>
      <w:pPr>
        <w:pStyle w:val="0"/>
        <w:spacing w:before="200" w:line-rule="auto"/>
        <w:ind w:firstLine="540"/>
        <w:jc w:val="both"/>
      </w:pPr>
      <w:r>
        <w:rPr>
          <w:sz w:val="20"/>
        </w:rPr>
        <w:t xml:space="preserve">постоянное сохранение синусового ритма с средней частотой менее 90 уд/мин в дневное время;</w:t>
      </w:r>
    </w:p>
    <w:p>
      <w:pPr>
        <w:pStyle w:val="0"/>
        <w:spacing w:before="200" w:line-rule="auto"/>
        <w:ind w:firstLine="540"/>
        <w:jc w:val="both"/>
      </w:pPr>
      <w:r>
        <w:rPr>
          <w:sz w:val="20"/>
        </w:rPr>
        <w:t xml:space="preserve">нормальные значения гормонов щитовидной железы (уровень тиреотропного гормона (ТТГ &gt;= 0,4 мЕд/л и &lt;= 4,0 мЕд/л) и печеночных ферментов в биохимическом анализе крови (аланинаминотрансфераза (АЛТ) &lt;= 40 Ед/л, аспартатаминотрансфераза (АСТ) &lt;= 40 Ед/л;</w:t>
      </w:r>
    </w:p>
    <w:p>
      <w:pPr>
        <w:pStyle w:val="0"/>
        <w:spacing w:before="200" w:line-rule="auto"/>
        <w:ind w:firstLine="540"/>
        <w:jc w:val="both"/>
      </w:pPr>
      <w:r>
        <w:rPr>
          <w:sz w:val="20"/>
        </w:rPr>
        <w:t xml:space="preserve">нормальное значение среднего объема эритроцитов (MCV) 80 - 100 фл.;</w:t>
      </w:r>
    </w:p>
    <w:p>
      <w:pPr>
        <w:pStyle w:val="0"/>
        <w:spacing w:before="200" w:line-rule="auto"/>
        <w:ind w:firstLine="540"/>
        <w:jc w:val="both"/>
      </w:pPr>
      <w:r>
        <w:rPr>
          <w:sz w:val="20"/>
        </w:rPr>
        <w:t xml:space="preserve">отсутствие значимой структурной патологии сердца, внутренний диаметр левого предсердия (ВД ЛП) &lt;= 4,5 см и индекс ВД ЛП/ППТ &lt;= 2,5 см/м</w:t>
      </w:r>
      <w:r>
        <w:rPr>
          <w:sz w:val="20"/>
          <w:vertAlign w:val="superscript"/>
        </w:rPr>
        <w:t xml:space="preserve">2</w:t>
      </w:r>
      <w:r>
        <w:rPr>
          <w:sz w:val="20"/>
        </w:rPr>
        <w:t xml:space="preserve">;</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фибрилляции предсердий/трепетания предсердий при трехкратном суточном мониторировании ЭКГ, выполненном с регулярной периодичностью в течение 3 месяцев, при условии отмены антиаритмической и антикоагулянтной терапии;</w:t>
      </w:r>
    </w:p>
    <w:p>
      <w:pPr>
        <w:pStyle w:val="0"/>
        <w:spacing w:before="200" w:line-rule="auto"/>
        <w:ind w:firstLine="540"/>
        <w:jc w:val="both"/>
      </w:pPr>
      <w:r>
        <w:rPr>
          <w:sz w:val="20"/>
        </w:rPr>
        <w:t xml:space="preserve">определение при трепетании предсердий при электрофизиологическом исследовании двунаправленной блокады кавотрикуспидального перешейка.</w:t>
      </w:r>
    </w:p>
    <w:p>
      <w:pPr>
        <w:pStyle w:val="0"/>
        <w:jc w:val="both"/>
      </w:pPr>
      <w:r>
        <w:rPr>
          <w:sz w:val="20"/>
        </w:rPr>
      </w:r>
    </w:p>
    <w:p>
      <w:pPr>
        <w:pStyle w:val="2"/>
        <w:outlineLvl w:val="3"/>
        <w:jc w:val="center"/>
      </w:pPr>
      <w:r>
        <w:rPr>
          <w:sz w:val="20"/>
        </w:rPr>
        <w:t xml:space="preserve">Атриовентрикулярная реципрокная узловая тахикардия (I47.1)</w:t>
      </w:r>
    </w:p>
    <w:p>
      <w:pPr>
        <w:pStyle w:val="0"/>
        <w:jc w:val="both"/>
      </w:pPr>
      <w:r>
        <w:rPr>
          <w:sz w:val="20"/>
        </w:rPr>
      </w:r>
    </w:p>
    <w:p>
      <w:pPr>
        <w:pStyle w:val="0"/>
        <w:ind w:firstLine="540"/>
        <w:jc w:val="both"/>
      </w:pPr>
      <w:r>
        <w:rPr>
          <w:sz w:val="20"/>
        </w:rPr>
        <w:t xml:space="preserve">18. Кандидаты на получение медицинского заключения 3 класса с атриовентрикулярной реципрокной узловой тахикардией подлежат кардиологическому обследованию.</w:t>
      </w:r>
    </w:p>
    <w:p>
      <w:pPr>
        <w:pStyle w:val="0"/>
        <w:spacing w:before="200" w:line-rule="auto"/>
        <w:ind w:firstLine="540"/>
        <w:jc w:val="both"/>
      </w:pPr>
      <w:r>
        <w:rPr>
          <w:sz w:val="20"/>
        </w:rPr>
        <w:t xml:space="preserve">19. При выявлении у кандидатов на получение медицинского заключения 3 класса во время освидетельствования или в анамнезе эпизодов атриовентрикулярной реципрокной узловой тахикардии медицинское заключение 3 класса не выдается:</w:t>
      </w:r>
    </w:p>
    <w:p>
      <w:pPr>
        <w:pStyle w:val="0"/>
        <w:spacing w:before="200" w:line-rule="auto"/>
        <w:ind w:firstLine="540"/>
        <w:jc w:val="both"/>
      </w:pPr>
      <w:r>
        <w:rPr>
          <w:sz w:val="20"/>
        </w:rPr>
        <w:t xml:space="preserve">при отсутствии проведения процедуры модификации медленного пути;</w:t>
      </w:r>
    </w:p>
    <w:p>
      <w:pPr>
        <w:pStyle w:val="0"/>
        <w:spacing w:before="200" w:line-rule="auto"/>
        <w:ind w:firstLine="540"/>
        <w:jc w:val="both"/>
      </w:pPr>
      <w:r>
        <w:rPr>
          <w:sz w:val="20"/>
        </w:rPr>
        <w:t xml:space="preserve">при наличии эпизода атриовентрикулярной реципрокной тахикардии при трехкратном холтеровском мониторировании ЭКГ, выполненном с регулярной периодичностью в течение 3 месяцев, прошедших с момента проведения процедуры модификации медленного пути;</w:t>
      </w:r>
    </w:p>
    <w:p>
      <w:pPr>
        <w:pStyle w:val="0"/>
        <w:spacing w:before="200" w:line-rule="auto"/>
        <w:ind w:firstLine="540"/>
        <w:jc w:val="both"/>
      </w:pPr>
      <w:r>
        <w:rPr>
          <w:sz w:val="20"/>
        </w:rPr>
        <w:t xml:space="preserve">при индуцировании нарушения ритма при электрофизиологическом исследовании;</w:t>
      </w:r>
    </w:p>
    <w:p>
      <w:pPr>
        <w:pStyle w:val="0"/>
        <w:spacing w:before="200" w:line-rule="auto"/>
        <w:ind w:firstLine="540"/>
        <w:jc w:val="both"/>
      </w:pPr>
      <w:r>
        <w:rPr>
          <w:sz w:val="20"/>
        </w:rPr>
        <w:t xml:space="preserve">при выявлении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20. Выдача медицинского заключения допускается,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Атриовентрикулярная реципрокная тахикардия (I45.6)</w:t>
      </w:r>
    </w:p>
    <w:p>
      <w:pPr>
        <w:pStyle w:val="0"/>
        <w:jc w:val="both"/>
      </w:pPr>
      <w:r>
        <w:rPr>
          <w:sz w:val="20"/>
        </w:rPr>
      </w:r>
    </w:p>
    <w:p>
      <w:pPr>
        <w:pStyle w:val="0"/>
        <w:ind w:firstLine="540"/>
        <w:jc w:val="both"/>
      </w:pPr>
      <w:r>
        <w:rPr>
          <w:sz w:val="20"/>
        </w:rPr>
        <w:t xml:space="preserve">21. Кандидаты на получение медицинского заключения 3 класса с феноменом Вольфа-Паркинсона-Уайта (WPW) и с атриовентрикулярной реципрокной тахикардией с дополнительными путями проведения подлежат кардиологическому обследованию.</w:t>
      </w:r>
    </w:p>
    <w:p>
      <w:pPr>
        <w:pStyle w:val="0"/>
        <w:spacing w:before="200" w:line-rule="auto"/>
        <w:ind w:firstLine="540"/>
        <w:jc w:val="both"/>
      </w:pPr>
      <w:r>
        <w:rPr>
          <w:sz w:val="20"/>
        </w:rPr>
        <w:t xml:space="preserve">22. При выявлении у кандидатов на получение медицинского заключения 3 класса во время освидетельствования или в анамнезе феномена WPW и/или эпизодов атриовентрикулярной реципрокной тахикардии с дополнительными путями проведения медицинское заключение 3 класса не выдается:</w:t>
      </w:r>
    </w:p>
    <w:p>
      <w:pPr>
        <w:pStyle w:val="0"/>
        <w:spacing w:before="200" w:line-rule="auto"/>
        <w:ind w:firstLine="540"/>
        <w:jc w:val="both"/>
      </w:pPr>
      <w:r>
        <w:rPr>
          <w:sz w:val="20"/>
        </w:rPr>
        <w:t xml:space="preserve">при первичном освидетельствовании (за исключением случаев, когда у кандидата на получение медицинского заключения 3 класса с феноменом WPW при проведении электрофизиологического исследования доказан показатель эффективного рефрактерного периода дополнительных проводящих путей (ЭРП ДПП) &gt; 300 мс или у кандидата на получение медицинского заключения 3 класса проведена процедура эндоваскулярного хирургического лечения по поводу наличия дополнительных путей проведения);</w:t>
      </w:r>
    </w:p>
    <w:p>
      <w:pPr>
        <w:pStyle w:val="0"/>
        <w:spacing w:before="200" w:line-rule="auto"/>
        <w:ind w:firstLine="540"/>
        <w:jc w:val="both"/>
      </w:pPr>
      <w:r>
        <w:rPr>
          <w:sz w:val="20"/>
        </w:rPr>
        <w:t xml:space="preserve">при наличии признаков проведения по дополнительным проводящим путям и эпизода атриовентрикулярной реципрокной тахикардии при трехкратном холтеровском мониторировании ЭКГ, выполненном с регулярной периодичностью в течение 3 месяцев, прошедших с момента проведения процедуры эндоваскулярного хирургического лечения по поводу добавочного проводящего пути;</w:t>
      </w:r>
    </w:p>
    <w:p>
      <w:pPr>
        <w:pStyle w:val="0"/>
        <w:spacing w:before="200" w:line-rule="auto"/>
        <w:ind w:firstLine="540"/>
        <w:jc w:val="both"/>
      </w:pPr>
      <w:r>
        <w:rPr>
          <w:sz w:val="20"/>
        </w:rPr>
        <w:t xml:space="preserve">при индуцировании при электрофизиологическом исследовании эпизода атриовентрикулярной реципрокной тахикардии или при определении показателя эффективного рефрактерного периода дополнительных проводящих путей (ЭРП ДПП) &lt; 300 мс;</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23. Выдача медицинского заключения допускается:</w:t>
      </w:r>
    </w:p>
    <w:p>
      <w:pPr>
        <w:pStyle w:val="0"/>
        <w:spacing w:before="200" w:line-rule="auto"/>
        <w:ind w:firstLine="540"/>
        <w:jc w:val="both"/>
      </w:pPr>
      <w:r>
        <w:rPr>
          <w:sz w:val="20"/>
        </w:rPr>
        <w:t xml:space="preserve">если была проведена проведена процедура эндоваскулярного хирургического лечения по поводу добавочного проводящего пути, эффективность которой подтверждена результатами теста с аденозином или электрофизиологическим исследованием, или при проведении электрофизиологического исследования доказан показатель эффективного рефрактерного периода дополнительных проводящих путей (ЭРП ДПП) &gt; 300 мс;</w:t>
      </w:r>
    </w:p>
    <w:p>
      <w:pPr>
        <w:pStyle w:val="0"/>
        <w:spacing w:before="200" w:line-rule="auto"/>
        <w:ind w:firstLine="540"/>
        <w:jc w:val="both"/>
      </w:pPr>
      <w:r>
        <w:rPr>
          <w:sz w:val="20"/>
        </w:rPr>
        <w:t xml:space="preserve">если при трехкратном холтеровском мониторировании ЭКГ, выполненном с регулярной периодичностью в течение 3 месяцев, отсутствуют признаки проведения по дополнительным проводящим путям и эпизоды атриовентрикулярной реципрокной тахикардии;</w:t>
      </w:r>
    </w:p>
    <w:p>
      <w:pPr>
        <w:pStyle w:val="0"/>
        <w:spacing w:before="200" w:line-rule="auto"/>
        <w:ind w:firstLine="540"/>
        <w:jc w:val="both"/>
      </w:pPr>
      <w:r>
        <w:rPr>
          <w:sz w:val="20"/>
        </w:rPr>
        <w:t xml:space="preserve">если регулярно (не реже 1 раза в год) проводится кардиологическое обследование.</w:t>
      </w:r>
    </w:p>
    <w:p>
      <w:pPr>
        <w:pStyle w:val="0"/>
        <w:jc w:val="both"/>
      </w:pPr>
      <w:r>
        <w:rPr>
          <w:sz w:val="20"/>
        </w:rPr>
      </w:r>
    </w:p>
    <w:p>
      <w:pPr>
        <w:pStyle w:val="2"/>
        <w:outlineLvl w:val="3"/>
        <w:jc w:val="center"/>
      </w:pPr>
      <w:r>
        <w:rPr>
          <w:sz w:val="20"/>
        </w:rPr>
        <w:t xml:space="preserve">Нарушение атривентрикулярной проводимости (I44.0 - I44.3)</w:t>
      </w:r>
    </w:p>
    <w:p>
      <w:pPr>
        <w:pStyle w:val="0"/>
        <w:jc w:val="both"/>
      </w:pPr>
      <w:r>
        <w:rPr>
          <w:sz w:val="20"/>
        </w:rPr>
      </w:r>
    </w:p>
    <w:p>
      <w:pPr>
        <w:pStyle w:val="0"/>
        <w:ind w:firstLine="540"/>
        <w:jc w:val="both"/>
      </w:pPr>
      <w:r>
        <w:rPr>
          <w:sz w:val="20"/>
        </w:rPr>
        <w:t xml:space="preserve">24. Выявление атриовентрикулярной блокады I степени не является основанием для дисквалификации за исключением ее симптомного течения.</w:t>
      </w:r>
    </w:p>
    <w:p>
      <w:pPr>
        <w:pStyle w:val="0"/>
        <w:spacing w:before="200" w:line-rule="auto"/>
        <w:ind w:firstLine="540"/>
        <w:jc w:val="both"/>
      </w:pPr>
      <w:r>
        <w:rPr>
          <w:sz w:val="20"/>
        </w:rPr>
        <w:t xml:space="preserve">25. Кандидаты на получение медицинского заключения 3 класса с выявленным нарушением атриовентрикулярной проводимости II и III подлежат кардиологическому обследованию.</w:t>
      </w:r>
    </w:p>
    <w:p>
      <w:pPr>
        <w:pStyle w:val="0"/>
        <w:spacing w:before="200" w:line-rule="auto"/>
        <w:ind w:firstLine="540"/>
        <w:jc w:val="both"/>
      </w:pPr>
      <w:r>
        <w:rPr>
          <w:sz w:val="20"/>
        </w:rPr>
        <w:t xml:space="preserve">26. Медицинское заключение 3 класса не выдается:</w:t>
      </w:r>
    </w:p>
    <w:p>
      <w:pPr>
        <w:pStyle w:val="0"/>
        <w:spacing w:before="200" w:line-rule="auto"/>
        <w:ind w:firstLine="540"/>
        <w:jc w:val="both"/>
      </w:pPr>
      <w:r>
        <w:rPr>
          <w:sz w:val="20"/>
        </w:rPr>
        <w:t xml:space="preserve">при атриовентрикулярной блокаде II степени типа Мобитц II с проведением 2:1 или типа Мобитц II в сочетании с нарушением проведения по ножкам пучка Гиса или паузами &gt;= 3 сек.;</w:t>
      </w:r>
    </w:p>
    <w:p>
      <w:pPr>
        <w:pStyle w:val="0"/>
        <w:spacing w:before="200" w:line-rule="auto"/>
        <w:ind w:firstLine="540"/>
        <w:jc w:val="both"/>
      </w:pPr>
      <w:r>
        <w:rPr>
          <w:sz w:val="20"/>
        </w:rPr>
        <w:t xml:space="preserve">при атриовентрикулярной блокаде III степени;</w:t>
      </w:r>
    </w:p>
    <w:p>
      <w:pPr>
        <w:pStyle w:val="0"/>
        <w:spacing w:before="200" w:line-rule="auto"/>
        <w:ind w:firstLine="540"/>
        <w:jc w:val="both"/>
      </w:pPr>
      <w:r>
        <w:rPr>
          <w:sz w:val="20"/>
        </w:rPr>
        <w:t xml:space="preserve">при установленном эндокардиальном кардиостимуляторе;</w:t>
      </w:r>
    </w:p>
    <w:p>
      <w:pPr>
        <w:pStyle w:val="0"/>
        <w:spacing w:before="200" w:line-rule="auto"/>
        <w:ind w:firstLine="540"/>
        <w:jc w:val="both"/>
      </w:pPr>
      <w:r>
        <w:rPr>
          <w:sz w:val="20"/>
        </w:rPr>
        <w:t xml:space="preserve">при жалобах и/или проявлениях клинических симптомов заболевания.</w:t>
      </w:r>
    </w:p>
    <w:p>
      <w:pPr>
        <w:pStyle w:val="0"/>
        <w:spacing w:before="200" w:line-rule="auto"/>
        <w:ind w:firstLine="540"/>
        <w:jc w:val="both"/>
      </w:pPr>
      <w:r>
        <w:rPr>
          <w:sz w:val="20"/>
        </w:rPr>
        <w:t xml:space="preserve">27. Наличие атриовентрикулярной блокады II степени типа Мобитц I и типа Мобитц II с паузами &lt; 2 сек. при отсутствии значимой структурной патологии сердца и без клинических проявлений не является основанием для отказа в выдаче медицинского заключения 3 класса.</w:t>
      </w:r>
    </w:p>
    <w:p>
      <w:pPr>
        <w:pStyle w:val="0"/>
        <w:spacing w:before="200" w:line-rule="auto"/>
        <w:ind w:firstLine="540"/>
        <w:jc w:val="both"/>
      </w:pPr>
      <w:r>
        <w:rPr>
          <w:sz w:val="20"/>
        </w:rPr>
        <w:t xml:space="preserve">28. В остальных случаях выдача медицинского заключения допускается,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w:t>
      </w:r>
    </w:p>
    <w:p>
      <w:pPr>
        <w:pStyle w:val="0"/>
        <w:jc w:val="both"/>
      </w:pPr>
      <w:r>
        <w:rPr>
          <w:sz w:val="20"/>
        </w:rPr>
      </w:r>
    </w:p>
    <w:p>
      <w:pPr>
        <w:pStyle w:val="2"/>
        <w:outlineLvl w:val="3"/>
        <w:jc w:val="center"/>
      </w:pPr>
      <w:r>
        <w:rPr>
          <w:sz w:val="20"/>
        </w:rPr>
        <w:t xml:space="preserve">Нарушение внутрижелудочковой проводимости (I44.4 - I44.7)</w:t>
      </w:r>
    </w:p>
    <w:p>
      <w:pPr>
        <w:pStyle w:val="0"/>
        <w:jc w:val="both"/>
      </w:pPr>
      <w:r>
        <w:rPr>
          <w:sz w:val="20"/>
        </w:rPr>
      </w:r>
    </w:p>
    <w:p>
      <w:pPr>
        <w:pStyle w:val="0"/>
        <w:ind w:firstLine="540"/>
        <w:jc w:val="both"/>
      </w:pPr>
      <w:r>
        <w:rPr>
          <w:sz w:val="20"/>
        </w:rPr>
        <w:t xml:space="preserve">29. Кандидаты на получение медицинского заключения 3 класса с выявленным нарушением внутрижелудочковой проводимости подлежат кардиологическому обследованию.</w:t>
      </w:r>
    </w:p>
    <w:p>
      <w:pPr>
        <w:pStyle w:val="0"/>
        <w:spacing w:before="200" w:line-rule="auto"/>
        <w:ind w:firstLine="540"/>
        <w:jc w:val="both"/>
      </w:pPr>
      <w:r>
        <w:rPr>
          <w:sz w:val="20"/>
        </w:rPr>
        <w:t xml:space="preserve">30. Выявленная неполная блокада правой ножки пучка Гиса, а также неполная блокада левой ножки пучка Гиса не являются основаниями для отказа в выдаче медицинского заключения при отсутствии значимой структурной патологии сердца.</w:t>
      </w:r>
    </w:p>
    <w:p>
      <w:pPr>
        <w:pStyle w:val="0"/>
        <w:spacing w:before="200" w:line-rule="auto"/>
        <w:ind w:firstLine="540"/>
        <w:jc w:val="both"/>
      </w:pPr>
      <w:r>
        <w:rPr>
          <w:sz w:val="20"/>
        </w:rPr>
        <w:t xml:space="preserve">31. При выявлении у кандидатов на получение медицинского заключения 3 класса полной блокады правой ножки пучка Гиса медицинское заключение 3 класса выдается при отсутствии:</w:t>
      </w:r>
    </w:p>
    <w:p>
      <w:pPr>
        <w:pStyle w:val="0"/>
        <w:spacing w:before="200" w:line-rule="auto"/>
        <w:ind w:firstLine="540"/>
        <w:jc w:val="both"/>
      </w:pPr>
      <w:r>
        <w:rPr>
          <w:sz w:val="20"/>
        </w:rPr>
        <w:t xml:space="preserve">значимой структурной патологии сердца и врожденных пороков сердца;</w:t>
      </w:r>
    </w:p>
    <w:p>
      <w:pPr>
        <w:pStyle w:val="0"/>
        <w:spacing w:before="200" w:line-rule="auto"/>
        <w:ind w:firstLine="540"/>
        <w:jc w:val="both"/>
      </w:pPr>
      <w:r>
        <w:rPr>
          <w:sz w:val="20"/>
        </w:rPr>
        <w:t xml:space="preserve">отрицательной пробе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на суточном мониторировании ЭКГ нарушений ритма и проводимости, подразумевающих вынесение решения о негодности к обучению и работе;</w:t>
      </w:r>
    </w:p>
    <w:p>
      <w:pPr>
        <w:pStyle w:val="0"/>
        <w:spacing w:before="200" w:line-rule="auto"/>
        <w:ind w:firstLine="540"/>
        <w:jc w:val="both"/>
      </w:pPr>
      <w:r>
        <w:rPr>
          <w:sz w:val="20"/>
        </w:rPr>
        <w:t xml:space="preserve">жалоб и/или проявлений клинических симптомов заболевания.</w:t>
      </w:r>
    </w:p>
    <w:p>
      <w:pPr>
        <w:pStyle w:val="0"/>
        <w:spacing w:before="200" w:line-rule="auto"/>
        <w:ind w:firstLine="540"/>
        <w:jc w:val="both"/>
      </w:pPr>
      <w:r>
        <w:rPr>
          <w:sz w:val="20"/>
        </w:rPr>
        <w:t xml:space="preserve">32. При впервые выявленной полной блокаде левой ножки пучка Гиса медицинское заключение 3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33. Выдача медицинского заключения допускается,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 Необходимо соблюдение следующих условий:</w:t>
      </w:r>
    </w:p>
    <w:p>
      <w:pPr>
        <w:pStyle w:val="0"/>
        <w:spacing w:before="200" w:line-rule="auto"/>
        <w:ind w:firstLine="540"/>
        <w:jc w:val="both"/>
      </w:pPr>
      <w:r>
        <w:rPr>
          <w:sz w:val="20"/>
        </w:rPr>
        <w:t xml:space="preserve">отсутствует значимая структурная патология сердца;</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при суточном мониторировании ЭКГ отсутствуют нарушения ритма и проводимости, подразумевающие вынесение решения о негодности к обучению и работе;</w:t>
      </w:r>
    </w:p>
    <w:p>
      <w:pPr>
        <w:pStyle w:val="0"/>
        <w:spacing w:before="200" w:line-rule="auto"/>
        <w:ind w:firstLine="540"/>
        <w:jc w:val="both"/>
      </w:pPr>
      <w:r>
        <w:rPr>
          <w:sz w:val="20"/>
        </w:rPr>
        <w:t xml:space="preserve">при проведении перфузионной томографии миокарда с фармакологической нагрузкой (или эквивалентного исследования) не выявлено признаков обратимого дефекта перфузии. Небольшой фиксированный дефект допускается при условии нормальных значений фракции выброса левого желудочка (не менее 55% при эхокардиографии) или если имеется отрицательный результат стресс-ЭХОКГ;</w:t>
      </w:r>
    </w:p>
    <w:p>
      <w:pPr>
        <w:pStyle w:val="0"/>
        <w:spacing w:before="200" w:line-rule="auto"/>
        <w:ind w:firstLine="540"/>
        <w:jc w:val="both"/>
      </w:pPr>
      <w:r>
        <w:rPr>
          <w:sz w:val="20"/>
        </w:rPr>
        <w:t xml:space="preserve">при мультиспиральной компьютерной томографии коронарных артерий или селективной коронарной ангиографии не выявлено стеноза &gt;= 50% любой крупной артерии (правой коронарной артерии, передней межжелудочковой, огибающей артерии, задней межжелудочковой артерии) или любого венозного/артериального шунта или стеноза &gt;= 30% в стволе левой коронарной артерии или в проксимальном отделе передней нисходящей артерии.</w:t>
      </w:r>
    </w:p>
    <w:p>
      <w:pPr>
        <w:pStyle w:val="0"/>
        <w:spacing w:before="200" w:line-rule="auto"/>
        <w:ind w:firstLine="540"/>
        <w:jc w:val="both"/>
      </w:pPr>
      <w:r>
        <w:rPr>
          <w:sz w:val="20"/>
        </w:rPr>
        <w:t xml:space="preserve">34. Выявление блокады передней ветви левой ножки пучка Гиса или блокады задней ветви левой ножки пучка Гиса не являются основанием для отказа в выдаче медицинского заключения:</w:t>
      </w:r>
    </w:p>
    <w:p>
      <w:pPr>
        <w:pStyle w:val="0"/>
        <w:spacing w:before="200" w:line-rule="auto"/>
        <w:ind w:firstLine="540"/>
        <w:jc w:val="both"/>
      </w:pPr>
      <w:r>
        <w:rPr>
          <w:sz w:val="20"/>
        </w:rPr>
        <w:t xml:space="preserve">при отсутствии значимой структурной патологии сердца и врожденных пороков сердца;</w:t>
      </w:r>
    </w:p>
    <w:p>
      <w:pPr>
        <w:pStyle w:val="0"/>
        <w:spacing w:before="200" w:line-rule="auto"/>
        <w:ind w:firstLine="540"/>
        <w:jc w:val="both"/>
      </w:pPr>
      <w:r>
        <w:rPr>
          <w:sz w:val="20"/>
        </w:rPr>
        <w:t xml:space="preserve">при отрицательной пробе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если на суточном мониторировании ЭКГ выявлены нарушения ритма и проводимости, подразумевающие вынесение решения о негодности к обучению и работе;</w:t>
      </w:r>
    </w:p>
    <w:p>
      <w:pPr>
        <w:pStyle w:val="0"/>
        <w:spacing w:before="200" w:line-rule="auto"/>
        <w:ind w:firstLine="540"/>
        <w:jc w:val="both"/>
      </w:pPr>
      <w:r>
        <w:rPr>
          <w:sz w:val="20"/>
        </w:rPr>
        <w:t xml:space="preserve">при жалобах и/или проявлениях клинических симптомов заболевания.</w:t>
      </w:r>
    </w:p>
    <w:p>
      <w:pPr>
        <w:pStyle w:val="0"/>
        <w:spacing w:before="200" w:line-rule="auto"/>
        <w:ind w:firstLine="540"/>
        <w:jc w:val="both"/>
      </w:pPr>
      <w:r>
        <w:rPr>
          <w:sz w:val="20"/>
        </w:rPr>
        <w:t xml:space="preserve">35. При выявлении блокады передней ветви левой ножки пучка Гиса или блокады задней ветви левой ножки пучка Гиса необходимо проведение кардиологического обследования и, в случае необходимости, ежегодного кардиологического наблюдения.</w:t>
      </w:r>
    </w:p>
    <w:p>
      <w:pPr>
        <w:pStyle w:val="0"/>
        <w:jc w:val="both"/>
      </w:pPr>
      <w:r>
        <w:rPr>
          <w:sz w:val="20"/>
        </w:rPr>
      </w:r>
    </w:p>
    <w:p>
      <w:pPr>
        <w:pStyle w:val="2"/>
        <w:outlineLvl w:val="3"/>
        <w:jc w:val="center"/>
      </w:pPr>
      <w:r>
        <w:rPr>
          <w:sz w:val="20"/>
        </w:rPr>
        <w:t xml:space="preserve">Ионные каналопатии (феномен/синдром Бругада,</w:t>
      </w:r>
    </w:p>
    <w:p>
      <w:pPr>
        <w:pStyle w:val="2"/>
        <w:jc w:val="center"/>
      </w:pPr>
      <w:r>
        <w:rPr>
          <w:sz w:val="20"/>
        </w:rPr>
        <w:t xml:space="preserve">феномен/синдром удлиненного интервала QT (LQTS),</w:t>
      </w:r>
    </w:p>
    <w:p>
      <w:pPr>
        <w:pStyle w:val="2"/>
        <w:jc w:val="center"/>
      </w:pPr>
      <w:r>
        <w:rPr>
          <w:sz w:val="20"/>
        </w:rPr>
        <w:t xml:space="preserve">феномен/синдром укороченного интервала QT (SQT),</w:t>
      </w:r>
    </w:p>
    <w:p>
      <w:pPr>
        <w:pStyle w:val="2"/>
        <w:jc w:val="center"/>
      </w:pPr>
      <w:r>
        <w:rPr>
          <w:sz w:val="20"/>
        </w:rPr>
        <w:t xml:space="preserve">феномен/синдром ранней реполяризации желудочков) (I49.8)</w:t>
      </w:r>
    </w:p>
    <w:p>
      <w:pPr>
        <w:pStyle w:val="0"/>
        <w:jc w:val="both"/>
      </w:pPr>
      <w:r>
        <w:rPr>
          <w:sz w:val="20"/>
        </w:rPr>
      </w:r>
    </w:p>
    <w:p>
      <w:pPr>
        <w:pStyle w:val="0"/>
        <w:ind w:firstLine="540"/>
        <w:jc w:val="both"/>
      </w:pPr>
      <w:r>
        <w:rPr>
          <w:sz w:val="20"/>
        </w:rPr>
        <w:t xml:space="preserve">36. Кандидаты на получение медицинского заключения 3 класса с диагносцированными ионными каналопатиями подлежат отстранению от работы и кардиологическому обследованию.</w:t>
      </w:r>
    </w:p>
    <w:p>
      <w:pPr>
        <w:pStyle w:val="0"/>
        <w:spacing w:before="200" w:line-rule="auto"/>
        <w:ind w:firstLine="540"/>
        <w:jc w:val="both"/>
      </w:pPr>
      <w:r>
        <w:rPr>
          <w:sz w:val="20"/>
        </w:rPr>
        <w:t xml:space="preserve">37. Феномен/синдром ранней реполяризации желудочков является поводом для кардиологического обследования только при наличии j-волны на ЭКГ в отведениях II, III, aVF.</w:t>
      </w:r>
    </w:p>
    <w:p>
      <w:pPr>
        <w:pStyle w:val="0"/>
        <w:spacing w:before="200" w:line-rule="auto"/>
        <w:ind w:firstLine="540"/>
        <w:jc w:val="both"/>
      </w:pPr>
      <w:r>
        <w:rPr>
          <w:sz w:val="20"/>
        </w:rPr>
        <w:t xml:space="preserve">38. Медицинское заключение 3 класса не выдается:</w:t>
      </w:r>
    </w:p>
    <w:p>
      <w:pPr>
        <w:pStyle w:val="0"/>
        <w:spacing w:before="200" w:line-rule="auto"/>
        <w:ind w:firstLine="540"/>
        <w:jc w:val="both"/>
      </w:pPr>
      <w:r>
        <w:rPr>
          <w:sz w:val="20"/>
        </w:rPr>
        <w:t xml:space="preserve">при первичном освидетельствовании;</w:t>
      </w:r>
    </w:p>
    <w:p>
      <w:pPr>
        <w:pStyle w:val="0"/>
        <w:spacing w:before="200" w:line-rule="auto"/>
        <w:ind w:firstLine="540"/>
        <w:jc w:val="both"/>
      </w:pPr>
      <w:r>
        <w:rPr>
          <w:sz w:val="20"/>
        </w:rPr>
        <w:t xml:space="preserve">при наличии в семейном анамнезе случаев внезапной сердечной смерти;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на ЭКГ удлинения QTc &gt;= 500 мс, укорочения QTc &lt;= 330 мс или феномена Бругада 1 типа;</w:t>
      </w:r>
    </w:p>
    <w:p>
      <w:pPr>
        <w:pStyle w:val="0"/>
        <w:spacing w:before="200" w:line-rule="auto"/>
        <w:ind w:firstLine="540"/>
        <w:jc w:val="both"/>
      </w:pPr>
      <w:r>
        <w:rPr>
          <w:sz w:val="20"/>
        </w:rPr>
        <w:t xml:space="preserve">при наличии жалоб и/или проявлении клинических симптомов заболевания, особенно синкопальных эпизодов.</w:t>
      </w:r>
    </w:p>
    <w:p>
      <w:pPr>
        <w:pStyle w:val="0"/>
        <w:spacing w:before="200" w:line-rule="auto"/>
        <w:ind w:firstLine="540"/>
        <w:jc w:val="both"/>
      </w:pPr>
      <w:r>
        <w:rPr>
          <w:sz w:val="20"/>
        </w:rPr>
        <w:t xml:space="preserve">39. Выдача медицинского заключения допускается только обладателям свидетельств при выявлении синдрома удлиненных ионных каналопатии в том случае,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Необходимо соблюдение следующих условий:</w:t>
      </w:r>
    </w:p>
    <w:p>
      <w:pPr>
        <w:pStyle w:val="0"/>
        <w:spacing w:before="200" w:line-rule="auto"/>
        <w:ind w:firstLine="540"/>
        <w:jc w:val="both"/>
      </w:pPr>
      <w:r>
        <w:rPr>
          <w:sz w:val="20"/>
        </w:rPr>
        <w:t xml:space="preserve">на ЭКГ отсутствуют удлинение QTc &gt;= 500 мс, укорочение QTc &lt;= 330 мс или феномен Бругада 1 типа, или особенности после фармакологической провокации;</w:t>
      </w:r>
    </w:p>
    <w:p>
      <w:pPr>
        <w:pStyle w:val="0"/>
        <w:spacing w:before="200" w:line-rule="auto"/>
        <w:ind w:firstLine="540"/>
        <w:jc w:val="both"/>
      </w:pPr>
      <w:r>
        <w:rPr>
          <w:sz w:val="20"/>
        </w:rPr>
        <w:t xml:space="preserve">отсутствуют желудочковые аритмии 3 - 5 градаций по B.Lown и M.Wolf в модификации M.Ryan и эпизоды желудочковой тахикардии при суточном мониторировании ЭКГ;</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отсутствуют жалобы и/или проявления клинических симптомов заболевания.</w:t>
      </w:r>
    </w:p>
    <w:p>
      <w:pPr>
        <w:pStyle w:val="0"/>
        <w:jc w:val="both"/>
      </w:pPr>
      <w:r>
        <w:rPr>
          <w:sz w:val="20"/>
        </w:rPr>
      </w:r>
    </w:p>
    <w:p>
      <w:pPr>
        <w:pStyle w:val="2"/>
        <w:outlineLvl w:val="3"/>
        <w:jc w:val="center"/>
      </w:pPr>
      <w:r>
        <w:rPr>
          <w:sz w:val="20"/>
        </w:rPr>
        <w:t xml:space="preserve">Патология клапанов сердца</w:t>
      </w:r>
    </w:p>
    <w:p>
      <w:pPr>
        <w:pStyle w:val="2"/>
        <w:jc w:val="center"/>
      </w:pPr>
      <w:r>
        <w:rPr>
          <w:sz w:val="20"/>
        </w:rPr>
        <w:t xml:space="preserve">Двустворчатый аортальный клапан (Q23.1)</w:t>
      </w:r>
    </w:p>
    <w:p>
      <w:pPr>
        <w:pStyle w:val="0"/>
        <w:jc w:val="both"/>
      </w:pPr>
      <w:r>
        <w:rPr>
          <w:sz w:val="20"/>
        </w:rPr>
      </w:r>
    </w:p>
    <w:p>
      <w:pPr>
        <w:pStyle w:val="0"/>
        <w:ind w:firstLine="540"/>
        <w:jc w:val="both"/>
      </w:pPr>
      <w:r>
        <w:rPr>
          <w:sz w:val="20"/>
        </w:rPr>
        <w:t xml:space="preserve">40. Кандидаты на получение медицинского заключения 3 класса с двустворчатым аортальным клапаном могут быть признаны годными к обучению и работе без ограничений при отсутствии значимой структурной патологии сердца, отсутствии жалоб и клинических проявлений заболеваний сердечно-сосудистой системы, а также при регулярном (не реже одного раза в 2 года) кардиологическом обследовании.</w:t>
      </w:r>
    </w:p>
    <w:p>
      <w:pPr>
        <w:pStyle w:val="0"/>
        <w:jc w:val="both"/>
      </w:pPr>
      <w:r>
        <w:rPr>
          <w:sz w:val="20"/>
        </w:rPr>
      </w:r>
    </w:p>
    <w:p>
      <w:pPr>
        <w:pStyle w:val="2"/>
        <w:outlineLvl w:val="3"/>
        <w:jc w:val="center"/>
      </w:pPr>
      <w:r>
        <w:rPr>
          <w:sz w:val="20"/>
        </w:rPr>
        <w:t xml:space="preserve">Аортальный стеноз (I35.0, I06.0)</w:t>
      </w:r>
    </w:p>
    <w:p>
      <w:pPr>
        <w:pStyle w:val="0"/>
        <w:jc w:val="both"/>
      </w:pPr>
      <w:r>
        <w:rPr>
          <w:sz w:val="20"/>
        </w:rPr>
      </w:r>
    </w:p>
    <w:p>
      <w:pPr>
        <w:pStyle w:val="0"/>
        <w:ind w:firstLine="540"/>
        <w:jc w:val="both"/>
      </w:pPr>
      <w:r>
        <w:rPr>
          <w:sz w:val="20"/>
        </w:rPr>
        <w:t xml:space="preserve">41. Кандидаты на получение медицинского заключения 3 класса с выявленным аортальным стенозом подлежат отстранению от летного и кардиологического обследований.</w:t>
      </w:r>
    </w:p>
    <w:p>
      <w:pPr>
        <w:pStyle w:val="0"/>
        <w:spacing w:before="200" w:line-rule="auto"/>
        <w:ind w:firstLine="540"/>
        <w:jc w:val="both"/>
      </w:pPr>
      <w:r>
        <w:rPr>
          <w:sz w:val="20"/>
        </w:rPr>
        <w:t xml:space="preserve">42. Медицинское заключение 3 класса не выдается:</w:t>
      </w:r>
    </w:p>
    <w:p>
      <w:pPr>
        <w:pStyle w:val="0"/>
        <w:spacing w:before="200" w:line-rule="auto"/>
        <w:ind w:firstLine="540"/>
        <w:jc w:val="both"/>
      </w:pPr>
      <w:r>
        <w:rPr>
          <w:sz w:val="20"/>
        </w:rPr>
        <w:t xml:space="preserve">при первичном медицинском освидетельствовании;</w:t>
      </w:r>
    </w:p>
    <w:p>
      <w:pPr>
        <w:pStyle w:val="0"/>
        <w:spacing w:before="200" w:line-rule="auto"/>
        <w:ind w:firstLine="540"/>
        <w:jc w:val="both"/>
      </w:pPr>
      <w:r>
        <w:rPr>
          <w:sz w:val="20"/>
        </w:rPr>
        <w:t xml:space="preserve">при пиковой скорости аортального потока по Доплеру &gt; 3 м/с;</w:t>
      </w:r>
    </w:p>
    <w:p>
      <w:pPr>
        <w:pStyle w:val="0"/>
        <w:spacing w:before="200" w:line-rule="auto"/>
        <w:ind w:firstLine="540"/>
        <w:jc w:val="both"/>
      </w:pPr>
      <w:r>
        <w:rPr>
          <w:sz w:val="20"/>
        </w:rPr>
        <w:t xml:space="preserve">при наличии в анамнезе ишемического инсульта и/или транзиторной ишемической атаки;</w:t>
      </w:r>
    </w:p>
    <w:p>
      <w:pPr>
        <w:pStyle w:val="0"/>
        <w:spacing w:before="200" w:line-rule="auto"/>
        <w:ind w:firstLine="540"/>
        <w:jc w:val="both"/>
      </w:pPr>
      <w:r>
        <w:rPr>
          <w:sz w:val="20"/>
        </w:rPr>
        <w:t xml:space="preserve">при увеличении толщины стенки левого желудочка более 1,1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43. Выявление у обладателей свидетельств аортального стеноза с пиковой скоростью аортального потока по Доплеру &lt;= 2,5 м/с не является основанием для их дисквалификации и введения ограничений при условии регулярного (не реже 1 раза в год) проведения кардиологического обследования.</w:t>
      </w:r>
    </w:p>
    <w:p>
      <w:pPr>
        <w:pStyle w:val="0"/>
        <w:spacing w:before="200" w:line-rule="auto"/>
        <w:ind w:firstLine="540"/>
        <w:jc w:val="both"/>
      </w:pPr>
      <w:r>
        <w:rPr>
          <w:sz w:val="20"/>
        </w:rPr>
        <w:t xml:space="preserve">44. При выявлении аортального стеноза с пиковой скоростью аортального потока в аорте по Доплеру &gt;= 2,6 и &lt;= 3,0 м/с, а также при наличии признаков кальцификации клапана выдача медицинского заключения допускается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3"/>
        <w:jc w:val="center"/>
      </w:pPr>
      <w:r>
        <w:rPr>
          <w:sz w:val="20"/>
        </w:rPr>
        <w:t xml:space="preserve">Аортальная регургитация (I35.1, I06.1)</w:t>
      </w:r>
    </w:p>
    <w:p>
      <w:pPr>
        <w:pStyle w:val="0"/>
        <w:jc w:val="both"/>
      </w:pPr>
      <w:r>
        <w:rPr>
          <w:sz w:val="20"/>
        </w:rPr>
      </w:r>
    </w:p>
    <w:p>
      <w:pPr>
        <w:pStyle w:val="0"/>
        <w:ind w:firstLine="540"/>
        <w:jc w:val="both"/>
      </w:pPr>
      <w:r>
        <w:rPr>
          <w:sz w:val="20"/>
        </w:rPr>
        <w:t xml:space="preserve">45. Кандидаты на получение медицинского заключения 3 класса с выявленной аортальной регургитацией подлежат отстранению от работы и кардиологическому обследованию.</w:t>
      </w:r>
    </w:p>
    <w:p>
      <w:pPr>
        <w:pStyle w:val="0"/>
        <w:spacing w:before="200" w:line-rule="auto"/>
        <w:ind w:firstLine="540"/>
        <w:jc w:val="both"/>
      </w:pPr>
      <w:r>
        <w:rPr>
          <w:sz w:val="20"/>
        </w:rPr>
        <w:t xml:space="preserve">46. Медицинское заключение 3 класса не выдается:</w:t>
      </w:r>
    </w:p>
    <w:p>
      <w:pPr>
        <w:pStyle w:val="0"/>
        <w:spacing w:before="200" w:line-rule="auto"/>
        <w:ind w:firstLine="540"/>
        <w:jc w:val="both"/>
      </w:pPr>
      <w:r>
        <w:rPr>
          <w:sz w:val="20"/>
        </w:rPr>
        <w:t xml:space="preserve">при диаметре корня аорты &gt; 5,0 см;</w:t>
      </w:r>
    </w:p>
    <w:p>
      <w:pPr>
        <w:pStyle w:val="0"/>
        <w:spacing w:before="200" w:line-rule="auto"/>
        <w:ind w:firstLine="540"/>
        <w:jc w:val="both"/>
      </w:pPr>
      <w:r>
        <w:rPr>
          <w:sz w:val="20"/>
        </w:rPr>
        <w:t xml:space="preserve">при конечно-диастолическом размере левого желудочка (КДР ЛЖ) &gt; 6,5 см;</w:t>
      </w:r>
    </w:p>
    <w:p>
      <w:pPr>
        <w:pStyle w:val="0"/>
        <w:spacing w:before="200" w:line-rule="auto"/>
        <w:ind w:firstLine="540"/>
        <w:jc w:val="both"/>
      </w:pPr>
      <w:r>
        <w:rPr>
          <w:sz w:val="20"/>
        </w:rPr>
        <w:t xml:space="preserve">при конечно-систолическом размере левого желудочка (КСР ЛЖ) &gt; 4,4 см;</w:t>
      </w:r>
    </w:p>
    <w:p>
      <w:pPr>
        <w:pStyle w:val="0"/>
        <w:spacing w:before="200" w:line-rule="auto"/>
        <w:ind w:firstLine="540"/>
        <w:jc w:val="both"/>
      </w:pPr>
      <w:r>
        <w:rPr>
          <w:sz w:val="20"/>
        </w:rPr>
        <w:t xml:space="preserve">при увеличении толщины межжелудочковой перегородки &gt;= 1,4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47. Выявление у обладателей свидетельств аортальной регургитации с КДР ЛЖ &lt;= 6,0 см и КСР ЛЖ &lt;= 4,1 см не является основанием для вынесения заключения о негодности к обучению и работе и введения ограничений при условии регулярного (не реже одного раза в год) проведения кардиологического обследования.</w:t>
      </w:r>
    </w:p>
    <w:p>
      <w:pPr>
        <w:pStyle w:val="0"/>
        <w:spacing w:before="200" w:line-rule="auto"/>
        <w:ind w:firstLine="540"/>
        <w:jc w:val="both"/>
      </w:pPr>
      <w:r>
        <w:rPr>
          <w:sz w:val="20"/>
        </w:rPr>
        <w:t xml:space="preserve">48. При аортальной регургитации с КДР ЛЖ &gt;= 6,2 см и &lt;= 6,5 см и КСР ЛЖ &gt;= 4,2 см и &lt;= 4,4 см выдача медицинского заключения допускается только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3"/>
        <w:jc w:val="center"/>
      </w:pPr>
      <w:r>
        <w:rPr>
          <w:sz w:val="20"/>
        </w:rPr>
        <w:t xml:space="preserve">Патология митрального клапана (I34, I05)</w:t>
      </w:r>
    </w:p>
    <w:p>
      <w:pPr>
        <w:pStyle w:val="0"/>
        <w:jc w:val="both"/>
      </w:pPr>
      <w:r>
        <w:rPr>
          <w:sz w:val="20"/>
        </w:rPr>
      </w:r>
    </w:p>
    <w:p>
      <w:pPr>
        <w:pStyle w:val="0"/>
        <w:ind w:firstLine="540"/>
        <w:jc w:val="both"/>
      </w:pPr>
      <w:r>
        <w:rPr>
          <w:sz w:val="20"/>
        </w:rPr>
        <w:t xml:space="preserve">49. Кандидаты на получение медицинского заключения 3 класса с выявленной патологией и аномалиями митрального клапана подлежат отстранению от летной работы и кардиологическому обследованию.</w:t>
      </w:r>
    </w:p>
    <w:p>
      <w:pPr>
        <w:pStyle w:val="0"/>
        <w:spacing w:before="200" w:line-rule="auto"/>
        <w:ind w:firstLine="540"/>
        <w:jc w:val="both"/>
      </w:pPr>
      <w:r>
        <w:rPr>
          <w:sz w:val="20"/>
        </w:rPr>
        <w:t xml:space="preserve">50. Наличие пролапса митрального клапана &lt; 6 мм и толщина створок митрального клапана &lt; 5 мм при отсутствии жалоб и клинических проявлений не являются основаниями для отказа в выдаче медицинского заключения.</w:t>
      </w:r>
    </w:p>
    <w:p>
      <w:pPr>
        <w:pStyle w:val="0"/>
        <w:spacing w:before="200" w:line-rule="auto"/>
        <w:ind w:firstLine="540"/>
        <w:jc w:val="both"/>
      </w:pPr>
      <w:r>
        <w:rPr>
          <w:sz w:val="20"/>
        </w:rPr>
        <w:t xml:space="preserve">51. Медицинское заключение 3 класса не выдается:</w:t>
      </w:r>
    </w:p>
    <w:p>
      <w:pPr>
        <w:pStyle w:val="0"/>
        <w:spacing w:before="200" w:line-rule="auto"/>
        <w:ind w:firstLine="540"/>
        <w:jc w:val="both"/>
      </w:pPr>
      <w:r>
        <w:rPr>
          <w:sz w:val="20"/>
        </w:rPr>
        <w:t xml:space="preserve">при площади митрального отверстия &lt;= 1,5 см</w:t>
      </w:r>
      <w:r>
        <w:rPr>
          <w:sz w:val="20"/>
          <w:vertAlign w:val="superscript"/>
        </w:rPr>
        <w:t xml:space="preserve">2</w:t>
      </w:r>
      <w:r>
        <w:rPr>
          <w:sz w:val="20"/>
        </w:rPr>
        <w:t xml:space="preserve"> при митральном стенозе;</w:t>
      </w:r>
    </w:p>
    <w:p>
      <w:pPr>
        <w:pStyle w:val="0"/>
        <w:spacing w:before="200" w:line-rule="auto"/>
        <w:ind w:firstLine="540"/>
        <w:jc w:val="both"/>
      </w:pPr>
      <w:r>
        <w:rPr>
          <w:sz w:val="20"/>
        </w:rPr>
        <w:t xml:space="preserve">при площади струи регургитации &gt;= 4 см</w:t>
      </w:r>
      <w:r>
        <w:rPr>
          <w:sz w:val="20"/>
          <w:vertAlign w:val="superscript"/>
        </w:rPr>
        <w:t xml:space="preserve">2</w:t>
      </w:r>
      <w:r>
        <w:rPr>
          <w:sz w:val="20"/>
        </w:rPr>
        <w:t xml:space="preserve"> или &gt;= 20% от площади левого предсердия и/или ширине vena constanta &gt;= 0,3 см при митральной регургитации;</w:t>
      </w:r>
    </w:p>
    <w:p>
      <w:pPr>
        <w:pStyle w:val="0"/>
        <w:spacing w:before="200" w:line-rule="auto"/>
        <w:ind w:firstLine="540"/>
        <w:jc w:val="both"/>
      </w:pPr>
      <w:r>
        <w:rPr>
          <w:sz w:val="20"/>
        </w:rPr>
        <w:t xml:space="preserve">при ревматическом митральном стенозе/регургитации;</w:t>
      </w:r>
    </w:p>
    <w:p>
      <w:pPr>
        <w:pStyle w:val="0"/>
        <w:spacing w:before="200" w:line-rule="auto"/>
        <w:ind w:firstLine="540"/>
        <w:jc w:val="both"/>
      </w:pPr>
      <w:r>
        <w:rPr>
          <w:sz w:val="20"/>
        </w:rPr>
        <w:t xml:space="preserve">при неревматической неишемической регургитации митрального клапана, вызванной разрывом хорды или ишемическим повреждением папиллярных мышц;</w:t>
      </w:r>
    </w:p>
    <w:p>
      <w:pPr>
        <w:pStyle w:val="0"/>
        <w:spacing w:before="200" w:line-rule="auto"/>
        <w:ind w:firstLine="540"/>
        <w:jc w:val="both"/>
      </w:pPr>
      <w:r>
        <w:rPr>
          <w:sz w:val="20"/>
        </w:rPr>
        <w:t xml:space="preserve">при наличии фибрилляции предсердий или трепетания предсердий на фоне митрального стеноза/регургитации;</w:t>
      </w:r>
    </w:p>
    <w:p>
      <w:pPr>
        <w:pStyle w:val="0"/>
        <w:spacing w:before="200" w:line-rule="auto"/>
        <w:ind w:firstLine="540"/>
        <w:jc w:val="both"/>
      </w:pPr>
      <w:r>
        <w:rPr>
          <w:sz w:val="20"/>
        </w:rPr>
        <w:t xml:space="preserve">при увеличении КДР ЛЖ &gt;= 6,1 см;</w:t>
      </w:r>
    </w:p>
    <w:p>
      <w:pPr>
        <w:pStyle w:val="0"/>
        <w:spacing w:before="200" w:line-rule="auto"/>
        <w:ind w:firstLine="540"/>
        <w:jc w:val="both"/>
      </w:pPr>
      <w:r>
        <w:rPr>
          <w:sz w:val="20"/>
        </w:rPr>
        <w:t xml:space="preserve">при увеличении КСР ЛЖ &gt;= 4,2 см;</w:t>
      </w:r>
    </w:p>
    <w:p>
      <w:pPr>
        <w:pStyle w:val="0"/>
        <w:spacing w:before="200" w:line-rule="auto"/>
        <w:ind w:firstLine="540"/>
        <w:jc w:val="both"/>
      </w:pPr>
      <w:r>
        <w:rPr>
          <w:sz w:val="20"/>
        </w:rPr>
        <w:t xml:space="preserve">при увеличении толщины межжелудочковой перегородки &gt;= 1,4 см;</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52. В остальных случаях допускается выдача медицинского заключения только при условии регулярного (не реже одного раза в год) проведения кардиологического обследования.</w:t>
      </w:r>
    </w:p>
    <w:p>
      <w:pPr>
        <w:pStyle w:val="0"/>
        <w:jc w:val="both"/>
      </w:pPr>
      <w:r>
        <w:rPr>
          <w:sz w:val="20"/>
        </w:rPr>
      </w:r>
    </w:p>
    <w:p>
      <w:pPr>
        <w:pStyle w:val="2"/>
        <w:outlineLvl w:val="3"/>
        <w:jc w:val="center"/>
      </w:pPr>
      <w:r>
        <w:rPr>
          <w:sz w:val="20"/>
        </w:rPr>
        <w:t xml:space="preserve">Состояния после хирургического лечения патологии</w:t>
      </w:r>
    </w:p>
    <w:p>
      <w:pPr>
        <w:pStyle w:val="2"/>
        <w:jc w:val="center"/>
      </w:pPr>
      <w:r>
        <w:rPr>
          <w:sz w:val="20"/>
        </w:rPr>
        <w:t xml:space="preserve">клапанов сердца</w:t>
      </w:r>
    </w:p>
    <w:p>
      <w:pPr>
        <w:pStyle w:val="0"/>
        <w:jc w:val="both"/>
      </w:pPr>
      <w:r>
        <w:rPr>
          <w:sz w:val="20"/>
        </w:rPr>
      </w:r>
    </w:p>
    <w:p>
      <w:pPr>
        <w:pStyle w:val="0"/>
        <w:ind w:firstLine="540"/>
        <w:jc w:val="both"/>
      </w:pPr>
      <w:r>
        <w:rPr>
          <w:sz w:val="20"/>
        </w:rPr>
        <w:t xml:space="preserve">53. Медицинское освидетельствование кандидатов на получение медицинского заключения 3 класса, перенесших замену аортального клапана биологическим протезом или хирургическое восстановление митрального клапана, проводится не ранее чем через 6 месяцев после оперативного лечения.</w:t>
      </w:r>
    </w:p>
    <w:p>
      <w:pPr>
        <w:pStyle w:val="0"/>
        <w:spacing w:before="200" w:line-rule="auto"/>
        <w:ind w:firstLine="540"/>
        <w:jc w:val="both"/>
      </w:pPr>
      <w:r>
        <w:rPr>
          <w:sz w:val="20"/>
        </w:rPr>
        <w:t xml:space="preserve">54. Медицинское заключение 3 класса не выдается:</w:t>
      </w:r>
    </w:p>
    <w:p>
      <w:pPr>
        <w:pStyle w:val="0"/>
        <w:spacing w:before="200" w:line-rule="auto"/>
        <w:ind w:firstLine="540"/>
        <w:jc w:val="both"/>
      </w:pPr>
      <w:r>
        <w:rPr>
          <w:sz w:val="20"/>
        </w:rPr>
        <w:t xml:space="preserve">при аортальной вальвулотомии;</w:t>
      </w:r>
    </w:p>
    <w:p>
      <w:pPr>
        <w:pStyle w:val="0"/>
        <w:spacing w:before="200" w:line-rule="auto"/>
        <w:ind w:firstLine="540"/>
        <w:jc w:val="both"/>
      </w:pPr>
      <w:r>
        <w:rPr>
          <w:sz w:val="20"/>
        </w:rPr>
        <w:t xml:space="preserve">при при многоклапанном протезировании;</w:t>
      </w:r>
    </w:p>
    <w:p>
      <w:pPr>
        <w:pStyle w:val="0"/>
        <w:spacing w:before="200" w:line-rule="auto"/>
        <w:ind w:firstLine="540"/>
        <w:jc w:val="both"/>
      </w:pPr>
      <w:r>
        <w:rPr>
          <w:sz w:val="20"/>
        </w:rPr>
        <w:t xml:space="preserve">при наличии в анамнезе тромбоэмболических событий;</w:t>
      </w:r>
    </w:p>
    <w:p>
      <w:pPr>
        <w:pStyle w:val="0"/>
        <w:spacing w:before="200" w:line-rule="auto"/>
        <w:ind w:firstLine="540"/>
        <w:jc w:val="both"/>
      </w:pPr>
      <w:r>
        <w:rPr>
          <w:sz w:val="20"/>
        </w:rPr>
        <w:t xml:space="preserve">при отсутствии постоянного синусового ритма.</w:t>
      </w:r>
    </w:p>
    <w:p>
      <w:pPr>
        <w:pStyle w:val="0"/>
        <w:spacing w:before="200" w:line-rule="auto"/>
        <w:ind w:firstLine="540"/>
        <w:jc w:val="both"/>
      </w:pPr>
      <w:r>
        <w:rPr>
          <w:sz w:val="20"/>
        </w:rPr>
        <w:t xml:space="preserve">55. Кандидаты на получение медицинского заключения 1 класса при подозрении на ишемию миокарда подлежат кардиологическому обследованию.</w:t>
      </w:r>
    </w:p>
    <w:p>
      <w:pPr>
        <w:pStyle w:val="0"/>
        <w:spacing w:before="200" w:line-rule="auto"/>
        <w:ind w:firstLine="540"/>
        <w:jc w:val="both"/>
      </w:pPr>
      <w:r>
        <w:rPr>
          <w:sz w:val="20"/>
        </w:rPr>
        <w:t xml:space="preserve">56. Кандидаты на получение медицинского заключения 1 класса с установленным диагнозом стенокардии либо с выявленными безболевыми формами ишемии миокарда признаются не годными к обучению и работе.</w:t>
      </w:r>
    </w:p>
    <w:p>
      <w:pPr>
        <w:pStyle w:val="0"/>
        <w:jc w:val="both"/>
      </w:pPr>
      <w:r>
        <w:rPr>
          <w:sz w:val="20"/>
        </w:rPr>
      </w:r>
    </w:p>
    <w:p>
      <w:pPr>
        <w:pStyle w:val="2"/>
        <w:outlineLvl w:val="3"/>
        <w:jc w:val="center"/>
      </w:pPr>
      <w:r>
        <w:rPr>
          <w:sz w:val="20"/>
        </w:rPr>
        <w:t xml:space="preserve">Инфаркт миокарда, другие ишемические кардиальные события</w:t>
      </w:r>
    </w:p>
    <w:p>
      <w:pPr>
        <w:pStyle w:val="0"/>
        <w:jc w:val="both"/>
      </w:pPr>
      <w:r>
        <w:rPr>
          <w:sz w:val="20"/>
        </w:rPr>
      </w:r>
    </w:p>
    <w:p>
      <w:pPr>
        <w:pStyle w:val="0"/>
        <w:ind w:firstLine="540"/>
        <w:jc w:val="both"/>
      </w:pPr>
      <w:r>
        <w:rPr>
          <w:sz w:val="20"/>
        </w:rPr>
        <w:t xml:space="preserve">57. Медицинское заключение 3 класса не выдается:</w:t>
      </w:r>
    </w:p>
    <w:p>
      <w:pPr>
        <w:pStyle w:val="0"/>
        <w:spacing w:before="200" w:line-rule="auto"/>
        <w:ind w:firstLine="540"/>
        <w:jc w:val="both"/>
      </w:pPr>
      <w:r>
        <w:rPr>
          <w:sz w:val="20"/>
        </w:rPr>
        <w:t xml:space="preserve">при наличии показаний к приему антикоагулянтной терапии;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увеличении диаметра корня аорты более 5,0 см;</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58. Выдача медицинского заключения допускается в случае,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осматриваются кардиологом, а также в случае необходимости получают медикаментозную терапию.</w:t>
      </w:r>
    </w:p>
    <w:p>
      <w:pPr>
        <w:pStyle w:val="0"/>
        <w:jc w:val="both"/>
      </w:pPr>
      <w:r>
        <w:rPr>
          <w:sz w:val="20"/>
        </w:rPr>
      </w:r>
    </w:p>
    <w:p>
      <w:pPr>
        <w:pStyle w:val="2"/>
        <w:outlineLvl w:val="3"/>
        <w:jc w:val="center"/>
      </w:pPr>
      <w:r>
        <w:rPr>
          <w:sz w:val="20"/>
        </w:rPr>
        <w:t xml:space="preserve">Перикардит, миокардит и эндокардит (I30 - I33, I40)</w:t>
      </w:r>
    </w:p>
    <w:p>
      <w:pPr>
        <w:pStyle w:val="0"/>
        <w:jc w:val="both"/>
      </w:pPr>
      <w:r>
        <w:rPr>
          <w:sz w:val="20"/>
        </w:rPr>
      </w:r>
    </w:p>
    <w:p>
      <w:pPr>
        <w:pStyle w:val="0"/>
        <w:ind w:firstLine="540"/>
        <w:jc w:val="both"/>
      </w:pPr>
      <w:r>
        <w:rPr>
          <w:sz w:val="20"/>
        </w:rPr>
        <w:t xml:space="preserve">59. Первичное освидетельствование возможно не ранее чем через 6 месяцев после полного выздоровления и кардиологического обследования при отсутствии нарушения функций сердца вследствие перенесенного заболевания, а также жалоб и клинических проявлений.</w:t>
      </w:r>
    </w:p>
    <w:p>
      <w:pPr>
        <w:pStyle w:val="0"/>
        <w:spacing w:before="200" w:line-rule="auto"/>
        <w:ind w:firstLine="540"/>
        <w:jc w:val="both"/>
      </w:pPr>
      <w:r>
        <w:rPr>
          <w:sz w:val="20"/>
        </w:rPr>
        <w:t xml:space="preserve">60. Медицинское заключение 3 класса не возобновляется:</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61. В течение 12 месяцев после перенесенного заболевания допуск к работе обладателей свидетельств осуществляется при условии регулярного (не менее одного раза в 6 месяцев) проведения кардиологического осмотра.</w:t>
      </w:r>
    </w:p>
    <w:p>
      <w:pPr>
        <w:pStyle w:val="0"/>
        <w:spacing w:before="200" w:line-rule="auto"/>
        <w:ind w:firstLine="540"/>
        <w:jc w:val="both"/>
      </w:pPr>
      <w:r>
        <w:rPr>
          <w:sz w:val="20"/>
        </w:rPr>
        <w:t xml:space="preserve">По истечении 12 месяцев после перенесенного заболевания при отсутствии значимых структурных изменений сердца, жалоб и клинических проявлений возможен допуск к УВД.</w:t>
      </w:r>
    </w:p>
    <w:p>
      <w:pPr>
        <w:pStyle w:val="0"/>
        <w:jc w:val="both"/>
      </w:pPr>
      <w:r>
        <w:rPr>
          <w:sz w:val="20"/>
        </w:rPr>
      </w:r>
    </w:p>
    <w:p>
      <w:pPr>
        <w:pStyle w:val="2"/>
        <w:outlineLvl w:val="3"/>
        <w:jc w:val="center"/>
      </w:pPr>
      <w:r>
        <w:rPr>
          <w:sz w:val="20"/>
        </w:rPr>
        <w:t xml:space="preserve">Кардиомиопатии</w:t>
      </w:r>
    </w:p>
    <w:p>
      <w:pPr>
        <w:pStyle w:val="2"/>
        <w:jc w:val="center"/>
      </w:pPr>
      <w:r>
        <w:rPr>
          <w:sz w:val="20"/>
        </w:rPr>
        <w:t xml:space="preserve">Гипертрофическая кардиомиопатия (I42.1 - I42.2)</w:t>
      </w:r>
    </w:p>
    <w:p>
      <w:pPr>
        <w:pStyle w:val="0"/>
        <w:jc w:val="both"/>
      </w:pPr>
      <w:r>
        <w:rPr>
          <w:sz w:val="20"/>
        </w:rPr>
      </w:r>
    </w:p>
    <w:p>
      <w:pPr>
        <w:pStyle w:val="0"/>
        <w:ind w:firstLine="540"/>
        <w:jc w:val="both"/>
      </w:pPr>
      <w:r>
        <w:rPr>
          <w:sz w:val="20"/>
        </w:rPr>
        <w:t xml:space="preserve">62. Кандидаты на получение медицинского заключения 3 класса с выявленной гипертрофической кардиомиопатией подлежат отстранению от работы и кардиологическому обследованию.</w:t>
      </w:r>
    </w:p>
    <w:p>
      <w:pPr>
        <w:pStyle w:val="0"/>
        <w:spacing w:before="200" w:line-rule="auto"/>
        <w:ind w:firstLine="540"/>
        <w:jc w:val="both"/>
      </w:pPr>
      <w:r>
        <w:rPr>
          <w:sz w:val="20"/>
        </w:rPr>
        <w:t xml:space="preserve">63. Медицинское заключение 3 класса не выдается:</w:t>
      </w:r>
    </w:p>
    <w:p>
      <w:pPr>
        <w:pStyle w:val="0"/>
        <w:spacing w:before="200" w:line-rule="auto"/>
        <w:ind w:firstLine="540"/>
        <w:jc w:val="both"/>
      </w:pPr>
      <w:r>
        <w:rPr>
          <w:sz w:val="20"/>
        </w:rPr>
        <w:t xml:space="preserve">при наличии в семейном анамнезе случаев внезапной сердечной смерти;</w:t>
      </w:r>
    </w:p>
    <w:p>
      <w:pPr>
        <w:pStyle w:val="0"/>
        <w:spacing w:before="200" w:line-rule="auto"/>
        <w:ind w:firstLine="540"/>
        <w:jc w:val="both"/>
      </w:pPr>
      <w:r>
        <w:rPr>
          <w:sz w:val="20"/>
        </w:rPr>
        <w:t xml:space="preserve">при превышении толщины межжелудочковой перегородки &gt;= 2,5 см;</w:t>
      </w:r>
    </w:p>
    <w:p>
      <w:pPr>
        <w:pStyle w:val="0"/>
        <w:spacing w:before="200" w:line-rule="auto"/>
        <w:ind w:firstLine="540"/>
        <w:jc w:val="both"/>
      </w:pPr>
      <w:r>
        <w:rPr>
          <w:sz w:val="20"/>
        </w:rPr>
        <w:t xml:space="preserve">при градиенте давления в выносящем тракте левого желудочка в покое &gt;= 50 мм рт. ст;</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64. Выдача медицинского заключения допускается в случае,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Рестриктивная кардиомиопатия (I42.5)</w:t>
      </w:r>
    </w:p>
    <w:p>
      <w:pPr>
        <w:pStyle w:val="0"/>
        <w:jc w:val="both"/>
      </w:pPr>
      <w:r>
        <w:rPr>
          <w:sz w:val="20"/>
        </w:rPr>
      </w:r>
    </w:p>
    <w:p>
      <w:pPr>
        <w:pStyle w:val="0"/>
        <w:ind w:firstLine="540"/>
        <w:jc w:val="both"/>
      </w:pPr>
      <w:r>
        <w:rPr>
          <w:sz w:val="20"/>
        </w:rPr>
        <w:t xml:space="preserve">65. Кандидаты на получение медицинского заключения 3 класса с выявленной рестриктовной кардиомиопатией подлежат кардиологическому обследованию.</w:t>
      </w:r>
    </w:p>
    <w:p>
      <w:pPr>
        <w:pStyle w:val="0"/>
        <w:spacing w:before="200" w:line-rule="auto"/>
        <w:ind w:firstLine="540"/>
        <w:jc w:val="both"/>
      </w:pPr>
      <w:r>
        <w:rPr>
          <w:sz w:val="20"/>
        </w:rPr>
        <w:t xml:space="preserve">66. Медицинское заключение 3 класса не выдается или не возобновляется:</w:t>
      </w:r>
    </w:p>
    <w:p>
      <w:pPr>
        <w:pStyle w:val="0"/>
        <w:spacing w:before="200" w:line-rule="auto"/>
        <w:ind w:firstLine="540"/>
        <w:jc w:val="both"/>
      </w:pPr>
      <w:r>
        <w:rPr>
          <w:sz w:val="20"/>
        </w:rPr>
        <w:t xml:space="preserve">при развитии кардиомиопатии, причиной которого не является гемохроматоз;</w:t>
      </w:r>
    </w:p>
    <w:p>
      <w:pPr>
        <w:pStyle w:val="0"/>
        <w:spacing w:before="200" w:line-rule="auto"/>
        <w:ind w:firstLine="540"/>
        <w:jc w:val="both"/>
      </w:pPr>
      <w:r>
        <w:rPr>
          <w:sz w:val="20"/>
        </w:rPr>
        <w:t xml:space="preserve">при нарушении углеводного обмена;</w:t>
      </w:r>
    </w:p>
    <w:p>
      <w:pPr>
        <w:pStyle w:val="0"/>
        <w:spacing w:before="200" w:line-rule="auto"/>
        <w:ind w:firstLine="540"/>
        <w:jc w:val="both"/>
      </w:pPr>
      <w:r>
        <w:rPr>
          <w:sz w:val="20"/>
        </w:rPr>
        <w:t xml:space="preserve">при наличии инфузионно зависимой анемии;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67. Выдача медицинского заключения допускается в случае, если кандидаты на облучение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1 раз в год) осматриваются кардиологом,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Дилатационная кардиомиопатия и кардиомиопатия,</w:t>
      </w:r>
    </w:p>
    <w:p>
      <w:pPr>
        <w:pStyle w:val="2"/>
        <w:jc w:val="center"/>
      </w:pPr>
      <w:r>
        <w:rPr>
          <w:sz w:val="20"/>
        </w:rPr>
        <w:t xml:space="preserve">обусловленная воздействием алкоголя/лекарственных средств</w:t>
      </w:r>
    </w:p>
    <w:p>
      <w:pPr>
        <w:pStyle w:val="2"/>
        <w:jc w:val="center"/>
      </w:pPr>
      <w:r>
        <w:rPr>
          <w:sz w:val="20"/>
        </w:rPr>
        <w:t xml:space="preserve">(I42.0, I42.6, I42.7)</w:t>
      </w:r>
    </w:p>
    <w:p>
      <w:pPr>
        <w:pStyle w:val="0"/>
        <w:jc w:val="both"/>
      </w:pPr>
      <w:r>
        <w:rPr>
          <w:sz w:val="20"/>
        </w:rPr>
      </w:r>
    </w:p>
    <w:p>
      <w:pPr>
        <w:pStyle w:val="0"/>
        <w:ind w:firstLine="540"/>
        <w:jc w:val="both"/>
      </w:pPr>
      <w:r>
        <w:rPr>
          <w:sz w:val="20"/>
        </w:rPr>
        <w:t xml:space="preserve">68. Кандидаты на получение медицинского заключения 3 класса с выявленной дилатационной кардиомиопатией подлежат кардиологическому обследованию.</w:t>
      </w:r>
    </w:p>
    <w:p>
      <w:pPr>
        <w:pStyle w:val="0"/>
        <w:spacing w:before="200" w:line-rule="auto"/>
        <w:ind w:firstLine="540"/>
        <w:jc w:val="both"/>
      </w:pPr>
      <w:r>
        <w:rPr>
          <w:sz w:val="20"/>
        </w:rPr>
        <w:t xml:space="preserve">69. Медицинское заключение 3 класса не выдается:</w:t>
      </w:r>
    </w:p>
    <w:p>
      <w:pPr>
        <w:pStyle w:val="0"/>
        <w:spacing w:before="200" w:line-rule="auto"/>
        <w:ind w:firstLine="540"/>
        <w:jc w:val="both"/>
      </w:pPr>
      <w:r>
        <w:rPr>
          <w:sz w:val="20"/>
        </w:rPr>
        <w:t xml:space="preserve">в течение первого года после верификации диагноза;</w:t>
      </w:r>
    </w:p>
    <w:p>
      <w:pPr>
        <w:pStyle w:val="0"/>
        <w:spacing w:before="200" w:line-rule="auto"/>
        <w:ind w:firstLine="540"/>
        <w:jc w:val="both"/>
      </w:pPr>
      <w:r>
        <w:rPr>
          <w:sz w:val="20"/>
        </w:rPr>
        <w:t xml:space="preserve">при фракции выброса ЛЖ (формула Симпсона) &lt;= 54%;</w:t>
      </w:r>
    </w:p>
    <w:p>
      <w:pPr>
        <w:pStyle w:val="0"/>
        <w:spacing w:before="200" w:line-rule="auto"/>
        <w:ind w:firstLine="540"/>
        <w:jc w:val="both"/>
      </w:pPr>
      <w:r>
        <w:rPr>
          <w:sz w:val="20"/>
        </w:rPr>
        <w:t xml:space="preserve">при наличии желудочковых экстрасистол 3 - 5 градаций по B.Lown и M.Wolf в модификации M.Ryan и эпизодов желудочковой тахикардии при суточном мониторировании ЭКГ;</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70. Выдача медицинского заключения допускается в случае,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год) проходят кардиологическое обследование,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Саркоидоз с поражением сердца (D86.8)</w:t>
      </w:r>
    </w:p>
    <w:p>
      <w:pPr>
        <w:pStyle w:val="0"/>
        <w:jc w:val="both"/>
      </w:pPr>
      <w:r>
        <w:rPr>
          <w:sz w:val="20"/>
        </w:rPr>
      </w:r>
    </w:p>
    <w:p>
      <w:pPr>
        <w:pStyle w:val="0"/>
        <w:ind w:firstLine="540"/>
        <w:jc w:val="both"/>
      </w:pPr>
      <w:r>
        <w:rPr>
          <w:sz w:val="20"/>
        </w:rPr>
        <w:t xml:space="preserve">71. Кандидаты на получение медицинского заключения 3 класса с впервые установленным диагнозом подлежат кардиологическому обследованию.</w:t>
      </w:r>
    </w:p>
    <w:p>
      <w:pPr>
        <w:pStyle w:val="0"/>
        <w:spacing w:before="200" w:line-rule="auto"/>
        <w:ind w:firstLine="540"/>
        <w:jc w:val="both"/>
      </w:pPr>
      <w:r>
        <w:rPr>
          <w:sz w:val="20"/>
        </w:rPr>
        <w:t xml:space="preserve">72. Медицинское заключение 3 класса не выдается:</w:t>
      </w:r>
    </w:p>
    <w:p>
      <w:pPr>
        <w:pStyle w:val="0"/>
        <w:spacing w:before="200" w:line-rule="auto"/>
        <w:ind w:firstLine="540"/>
        <w:jc w:val="both"/>
      </w:pPr>
      <w:r>
        <w:rPr>
          <w:sz w:val="20"/>
        </w:rPr>
        <w:t xml:space="preserve">в течение первых 6 месяцев после верификации диагноза;</w:t>
      </w:r>
    </w:p>
    <w:p>
      <w:pPr>
        <w:pStyle w:val="0"/>
        <w:spacing w:before="200" w:line-rule="auto"/>
        <w:ind w:firstLine="540"/>
        <w:jc w:val="both"/>
      </w:pPr>
      <w:r>
        <w:rPr>
          <w:sz w:val="20"/>
        </w:rPr>
        <w:t xml:space="preserve">при увеличении корневых лимфоузлов при серии рентгенологических исследований органов грудной клетки;</w:t>
      </w:r>
    </w:p>
    <w:p>
      <w:pPr>
        <w:pStyle w:val="0"/>
        <w:spacing w:before="200" w:line-rule="auto"/>
        <w:ind w:firstLine="540"/>
        <w:jc w:val="both"/>
      </w:pPr>
      <w:r>
        <w:rPr>
          <w:sz w:val="20"/>
        </w:rPr>
        <w:t xml:space="preserve">при отсутствии признаков гипоксемии;</w:t>
      </w:r>
    </w:p>
    <w:p>
      <w:pPr>
        <w:pStyle w:val="0"/>
        <w:spacing w:before="200" w:line-rule="auto"/>
        <w:ind w:firstLine="540"/>
        <w:jc w:val="both"/>
      </w:pPr>
      <w:r>
        <w:rPr>
          <w:sz w:val="20"/>
        </w:rPr>
        <w:t xml:space="preserve">при наличии признаков активного саркоидоза внесердечной локализации (в том числе при отсутствии активного процесса при биопсии узла лестничной мышцы);</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w:t>
      </w:r>
    </w:p>
    <w:p>
      <w:pPr>
        <w:pStyle w:val="0"/>
        <w:spacing w:before="200" w:line-rule="auto"/>
        <w:ind w:firstLine="540"/>
        <w:jc w:val="both"/>
      </w:pPr>
      <w:r>
        <w:rPr>
          <w:sz w:val="20"/>
        </w:rPr>
        <w:t xml:space="preserve">при наличии жалоб и/или проявлении клинических симптомов заболевания, в том числе и с момента верификации диагноза.</w:t>
      </w:r>
    </w:p>
    <w:p>
      <w:pPr>
        <w:pStyle w:val="0"/>
        <w:spacing w:before="200" w:line-rule="auto"/>
        <w:ind w:firstLine="540"/>
        <w:jc w:val="both"/>
      </w:pPr>
      <w:r>
        <w:rPr>
          <w:sz w:val="20"/>
        </w:rPr>
        <w:t xml:space="preserve">73. Выдача медицинского заключения допускается в случае,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регулярно (минимум один раз в 6 месяцев) осматриваются кардиологом, а также в случае потребности получают медикаментозную терапию.</w:t>
      </w:r>
    </w:p>
    <w:p>
      <w:pPr>
        <w:pStyle w:val="0"/>
        <w:jc w:val="both"/>
      </w:pPr>
      <w:r>
        <w:rPr>
          <w:sz w:val="20"/>
        </w:rPr>
      </w:r>
    </w:p>
    <w:p>
      <w:pPr>
        <w:pStyle w:val="2"/>
        <w:outlineLvl w:val="3"/>
        <w:jc w:val="center"/>
      </w:pPr>
      <w:r>
        <w:rPr>
          <w:sz w:val="20"/>
        </w:rPr>
        <w:t xml:space="preserve">Аритмогенная дисплазия правого желудочка (I42.8)</w:t>
      </w:r>
    </w:p>
    <w:p>
      <w:pPr>
        <w:pStyle w:val="0"/>
        <w:jc w:val="both"/>
      </w:pPr>
      <w:r>
        <w:rPr>
          <w:sz w:val="20"/>
        </w:rPr>
      </w:r>
    </w:p>
    <w:p>
      <w:pPr>
        <w:pStyle w:val="0"/>
        <w:ind w:firstLine="540"/>
        <w:jc w:val="both"/>
      </w:pPr>
      <w:r>
        <w:rPr>
          <w:sz w:val="20"/>
        </w:rPr>
        <w:t xml:space="preserve">74. Кандидаты на получение медицинского заключения 3 класса при выявлении на ЭКГ изменений, свидетельствующих о поражении правых отделов сердца (появление эпсилон-зубцов в отведениях V1-V3, удлинение комплекса QRS &gt;= 110 мс с инверсией зубца T в отведениях V1-V2 при отсутствии полной блокады правой ножки пучка Гиса, инверсия зубцов T в отведениях V1-V4 при наличии полной блокады правой ножки пучка Гиса) подлежат кардиологическому обследованию.</w:t>
      </w:r>
    </w:p>
    <w:p>
      <w:pPr>
        <w:pStyle w:val="0"/>
        <w:spacing w:before="200" w:line-rule="auto"/>
        <w:ind w:firstLine="540"/>
        <w:jc w:val="both"/>
      </w:pPr>
      <w:r>
        <w:rPr>
          <w:sz w:val="20"/>
        </w:rPr>
        <w:t xml:space="preserve">75. Установление диагноза является причиной отказа в допуске к работе.</w:t>
      </w:r>
    </w:p>
    <w:p>
      <w:pPr>
        <w:pStyle w:val="0"/>
        <w:jc w:val="both"/>
      </w:pPr>
      <w:r>
        <w:rPr>
          <w:sz w:val="20"/>
        </w:rPr>
      </w:r>
    </w:p>
    <w:p>
      <w:pPr>
        <w:pStyle w:val="2"/>
        <w:outlineLvl w:val="3"/>
        <w:jc w:val="center"/>
      </w:pPr>
      <w:r>
        <w:rPr>
          <w:sz w:val="20"/>
        </w:rPr>
        <w:t xml:space="preserve">Синдром спортивного сердца (I42.7)</w:t>
      </w:r>
    </w:p>
    <w:p>
      <w:pPr>
        <w:pStyle w:val="0"/>
        <w:jc w:val="both"/>
      </w:pPr>
      <w:r>
        <w:rPr>
          <w:sz w:val="20"/>
        </w:rPr>
      </w:r>
    </w:p>
    <w:p>
      <w:pPr>
        <w:pStyle w:val="0"/>
        <w:ind w:firstLine="540"/>
        <w:jc w:val="both"/>
      </w:pPr>
      <w:r>
        <w:rPr>
          <w:sz w:val="20"/>
        </w:rPr>
        <w:t xml:space="preserve">76. Выявление при эхокардиографии увеличения КДР ЛЖ у мужчин &gt;= 6,0 см (для женщин &gt;= 5,3 см) и/или индекса КДР/ППТ для мужчин &gt;= 3,2 см/м</w:t>
      </w:r>
      <w:r>
        <w:rPr>
          <w:sz w:val="20"/>
          <w:vertAlign w:val="superscript"/>
        </w:rPr>
        <w:t xml:space="preserve">2</w:t>
      </w:r>
      <w:r>
        <w:rPr>
          <w:sz w:val="20"/>
        </w:rPr>
        <w:t xml:space="preserve"> (для женщин &gt;= 3,3 см/м</w:t>
      </w:r>
      <w:r>
        <w:rPr>
          <w:sz w:val="20"/>
          <w:vertAlign w:val="superscript"/>
        </w:rPr>
        <w:t xml:space="preserve">2</w:t>
      </w:r>
      <w:r>
        <w:rPr>
          <w:sz w:val="20"/>
        </w:rPr>
        <w:t xml:space="preserve"> требует кардиологического обследования и проведения дифференциальной диагностики заболеваний сердца.</w:t>
      </w:r>
    </w:p>
    <w:p>
      <w:pPr>
        <w:pStyle w:val="0"/>
        <w:spacing w:before="200" w:line-rule="auto"/>
        <w:ind w:firstLine="540"/>
        <w:jc w:val="both"/>
      </w:pPr>
      <w:r>
        <w:rPr>
          <w:sz w:val="20"/>
        </w:rPr>
        <w:t xml:space="preserve">77. После постановки диагноза "синдром спортивного сердца" при условии отсутствия значимой структурной патологии сердца кандидаты на получение медицинского заключения допускаются к работе.</w:t>
      </w:r>
    </w:p>
    <w:p>
      <w:pPr>
        <w:pStyle w:val="0"/>
        <w:jc w:val="both"/>
      </w:pPr>
      <w:r>
        <w:rPr>
          <w:sz w:val="20"/>
        </w:rPr>
      </w:r>
    </w:p>
    <w:p>
      <w:pPr>
        <w:pStyle w:val="2"/>
        <w:outlineLvl w:val="3"/>
        <w:jc w:val="center"/>
      </w:pPr>
      <w:r>
        <w:rPr>
          <w:sz w:val="20"/>
        </w:rPr>
        <w:t xml:space="preserve">Врожденные пороки сердца.</w:t>
      </w:r>
    </w:p>
    <w:p>
      <w:pPr>
        <w:pStyle w:val="2"/>
        <w:jc w:val="center"/>
      </w:pPr>
      <w:r>
        <w:rPr>
          <w:sz w:val="20"/>
        </w:rPr>
        <w:t xml:space="preserve">Дефект межпредсердной перегородки (Q21.1)</w:t>
      </w:r>
    </w:p>
    <w:p>
      <w:pPr>
        <w:pStyle w:val="0"/>
        <w:jc w:val="both"/>
      </w:pPr>
      <w:r>
        <w:rPr>
          <w:sz w:val="20"/>
        </w:rPr>
      </w:r>
    </w:p>
    <w:p>
      <w:pPr>
        <w:pStyle w:val="0"/>
        <w:ind w:firstLine="540"/>
        <w:jc w:val="both"/>
      </w:pPr>
      <w:r>
        <w:rPr>
          <w:sz w:val="20"/>
        </w:rPr>
        <w:t xml:space="preserve">78. Кандидаты на получение медицинского заключения 3 класса с выявленными дефектами межпредсердной перегородки подлежат кардиологическому обследованию.</w:t>
      </w:r>
    </w:p>
    <w:p>
      <w:pPr>
        <w:pStyle w:val="0"/>
        <w:spacing w:before="200" w:line-rule="auto"/>
        <w:ind w:firstLine="540"/>
        <w:jc w:val="both"/>
      </w:pPr>
      <w:r>
        <w:rPr>
          <w:sz w:val="20"/>
        </w:rPr>
        <w:t xml:space="preserve">79. Медицинское заключение 3 класса не выдается:</w:t>
      </w:r>
    </w:p>
    <w:p>
      <w:pPr>
        <w:pStyle w:val="0"/>
        <w:spacing w:before="200" w:line-rule="auto"/>
        <w:ind w:firstLine="540"/>
        <w:jc w:val="both"/>
      </w:pPr>
      <w:r>
        <w:rPr>
          <w:sz w:val="20"/>
        </w:rPr>
        <w:t xml:space="preserve">при наличии вторичного дефекта межпредсердной перегородки или открытого овального окна с соотношением максимальных скоростей кровотока в легочной артерии и аорте (соотношение QP/QS) &gt;= 1,5:1 по данным эхокардиографии;</w:t>
      </w:r>
    </w:p>
    <w:p>
      <w:pPr>
        <w:pStyle w:val="0"/>
        <w:spacing w:before="200" w:line-rule="auto"/>
        <w:ind w:firstLine="540"/>
        <w:jc w:val="both"/>
      </w:pPr>
      <w:r>
        <w:rPr>
          <w:sz w:val="20"/>
        </w:rPr>
        <w:t xml:space="preserve">при наличии первичного дефекта межпредсердной перегородки или дефекта венозного синуса, или дефекта коронарного синуса;</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80. При оперативной коррекции вторичного дефекта межпредсердной перегородки или открытого овального окна у кандидатов на получение медицинского заключения в возрасте до 24 лет заключение 3 класса выдается без ограничений при условии регулярного (не менее одного раза в год) кардиологического обследования.</w:t>
      </w:r>
    </w:p>
    <w:p>
      <w:pPr>
        <w:pStyle w:val="0"/>
        <w:spacing w:before="200" w:line-rule="auto"/>
        <w:ind w:firstLine="540"/>
        <w:jc w:val="both"/>
      </w:pPr>
      <w:r>
        <w:rPr>
          <w:sz w:val="20"/>
        </w:rPr>
        <w:t xml:space="preserve">81. При оперативной коррекции вторичного дефекта межпредсердной перегородки или открытого овального окна в возрасте после 24 лет, при наличии вторичного дефекта межпредсердной перегородки или открытого овального окна с соотношением QP/QS &lt;= 1,5:1 по данным эхокардиографии, при оперативной коррекции первичного дефекта межпредсердной перегородки или дефекта венозного синуса, или дефекта коронарного синуса возможна выдача медицинского заключения 3 класса при соблюдении следующих условий:</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фибрилляции предсердий и/или трепетания предсердий при трехкратном суточном мониторировании ЭКГ;</w:t>
      </w:r>
    </w:p>
    <w:p>
      <w:pPr>
        <w:pStyle w:val="0"/>
        <w:spacing w:before="200" w:line-rule="auto"/>
        <w:ind w:firstLine="540"/>
        <w:jc w:val="both"/>
      </w:pPr>
      <w:r>
        <w:rPr>
          <w:sz w:val="20"/>
        </w:rPr>
        <w:t xml:space="preserve">отсутствие при кардиологическом обследовании значимой структурной патологии сердца 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эхокардиографии площади струи регургитации &lt;= 4 см</w:t>
      </w:r>
      <w:r>
        <w:rPr>
          <w:sz w:val="20"/>
          <w:vertAlign w:val="superscript"/>
        </w:rPr>
        <w:t xml:space="preserve">2</w:t>
      </w:r>
      <w:r>
        <w:rPr>
          <w:sz w:val="20"/>
        </w:rPr>
        <w:t xml:space="preserve"> и/или &lt;= 20% от площади левого предсердия, и/или фракции регургитации &lt;= 30% объема левого предсердия ширине vena constanta &lt;= 0,3 см при митральной регургитации;</w:t>
      </w:r>
    </w:p>
    <w:p>
      <w:pPr>
        <w:pStyle w:val="0"/>
        <w:spacing w:before="200" w:line-rule="auto"/>
        <w:ind w:firstLine="540"/>
        <w:jc w:val="both"/>
      </w:pPr>
      <w:r>
        <w:rPr>
          <w:sz w:val="20"/>
        </w:rPr>
        <w:t xml:space="preserve">при отсутствии жалоб и/или клинических проявлений заболевания;</w:t>
      </w:r>
    </w:p>
    <w:p>
      <w:pPr>
        <w:pStyle w:val="0"/>
        <w:spacing w:before="200" w:line-rule="auto"/>
        <w:ind w:firstLine="540"/>
        <w:jc w:val="both"/>
      </w:pPr>
      <w:r>
        <w:rPr>
          <w:sz w:val="20"/>
        </w:rPr>
        <w:t xml:space="preserve">при регулярном (не менее одного раза в год) проведении кардиологических обследований.</w:t>
      </w:r>
    </w:p>
    <w:p>
      <w:pPr>
        <w:pStyle w:val="0"/>
        <w:jc w:val="both"/>
      </w:pPr>
      <w:r>
        <w:rPr>
          <w:sz w:val="20"/>
        </w:rPr>
      </w:r>
    </w:p>
    <w:p>
      <w:pPr>
        <w:pStyle w:val="2"/>
        <w:outlineLvl w:val="3"/>
        <w:jc w:val="center"/>
      </w:pPr>
      <w:r>
        <w:rPr>
          <w:sz w:val="20"/>
        </w:rPr>
        <w:t xml:space="preserve">Дефект межжелудочковой перегородки (Q21.0)</w:t>
      </w:r>
    </w:p>
    <w:p>
      <w:pPr>
        <w:pStyle w:val="0"/>
        <w:jc w:val="both"/>
      </w:pPr>
      <w:r>
        <w:rPr>
          <w:sz w:val="20"/>
        </w:rPr>
      </w:r>
    </w:p>
    <w:p>
      <w:pPr>
        <w:pStyle w:val="0"/>
        <w:ind w:firstLine="540"/>
        <w:jc w:val="both"/>
      </w:pPr>
      <w:r>
        <w:rPr>
          <w:sz w:val="20"/>
        </w:rPr>
        <w:t xml:space="preserve">82. Кандидаты на получение медицинского заключения 3 класса с выявленными дефектами межжелудочковой перегородки подлежат кардиологическому обследованию.</w:t>
      </w:r>
    </w:p>
    <w:p>
      <w:pPr>
        <w:pStyle w:val="0"/>
        <w:spacing w:before="200" w:line-rule="auto"/>
        <w:ind w:firstLine="540"/>
        <w:jc w:val="both"/>
      </w:pPr>
      <w:r>
        <w:rPr>
          <w:sz w:val="20"/>
        </w:rPr>
        <w:t xml:space="preserve">83. Медицинское заключение 3 класса не выдается:</w:t>
      </w:r>
    </w:p>
    <w:p>
      <w:pPr>
        <w:pStyle w:val="0"/>
        <w:spacing w:before="200" w:line-rule="auto"/>
        <w:ind w:firstLine="540"/>
        <w:jc w:val="both"/>
      </w:pPr>
      <w:r>
        <w:rPr>
          <w:sz w:val="20"/>
        </w:rPr>
        <w:t xml:space="preserve">при наличии вторичного дефекта межжелудочковой перегородки с соотношением QP/QS &gt;= 1,5:1 по данным эхокардиографии без оперативной коррекции;</w:t>
      </w:r>
    </w:p>
    <w:p>
      <w:pPr>
        <w:pStyle w:val="0"/>
        <w:spacing w:before="200" w:line-rule="auto"/>
        <w:ind w:firstLine="540"/>
        <w:jc w:val="both"/>
      </w:pPr>
      <w:r>
        <w:rPr>
          <w:sz w:val="20"/>
        </w:rPr>
        <w:t xml:space="preserve">при выявлении при кардиологическом обследовании значимой структурной патологии сердца или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при наличии жалоб и/или проявлении клинических симптомов заболевания.</w:t>
      </w:r>
    </w:p>
    <w:p>
      <w:pPr>
        <w:pStyle w:val="0"/>
        <w:spacing w:before="200" w:line-rule="auto"/>
        <w:ind w:firstLine="540"/>
        <w:jc w:val="both"/>
      </w:pPr>
      <w:r>
        <w:rPr>
          <w:sz w:val="20"/>
        </w:rPr>
        <w:t xml:space="preserve">84. При оперативной коррекции вторичного дефекта межжелудочковой перегородки, наличии дефекта межжелудочковой перегородки с соотношением QP/QS &lt;= 1,5:1 по данным эхокардиографии возможна выдача медицинского заключения 3 класса при соблюдении следующих условий:</w:t>
      </w:r>
    </w:p>
    <w:p>
      <w:pPr>
        <w:pStyle w:val="0"/>
        <w:spacing w:before="200" w:line-rule="auto"/>
        <w:ind w:firstLine="540"/>
        <w:jc w:val="both"/>
      </w:pPr>
      <w:r>
        <w:rPr>
          <w:sz w:val="20"/>
        </w:rPr>
        <w:t xml:space="preserve">отрицательная проба ЭКГ с физической нагрузкой (как минимум необходимо достижение стадии IV протокола Брюса или ее эквивалента);</w:t>
      </w:r>
    </w:p>
    <w:p>
      <w:pPr>
        <w:pStyle w:val="0"/>
        <w:spacing w:before="200" w:line-rule="auto"/>
        <w:ind w:firstLine="540"/>
        <w:jc w:val="both"/>
      </w:pPr>
      <w:r>
        <w:rPr>
          <w:sz w:val="20"/>
        </w:rPr>
        <w:t xml:space="preserve">отсутствие при кардиологическом обследовании значимой структурной патологии сердца и заболеваний, подразумевающих вынесение решения о негодности к обучению и работе;</w:t>
      </w:r>
    </w:p>
    <w:p>
      <w:pPr>
        <w:pStyle w:val="0"/>
        <w:spacing w:before="200" w:line-rule="auto"/>
        <w:ind w:firstLine="540"/>
        <w:jc w:val="both"/>
      </w:pPr>
      <w:r>
        <w:rPr>
          <w:sz w:val="20"/>
        </w:rPr>
        <w:t xml:space="preserve">отсутствие желудочковых аритмий 3 - 5 градаций по B.Lown и M.Wolf в модификации M.Ryan и эпизодов желудочковой тахикардии при суточном мониторировании ЭКГ;</w:t>
      </w:r>
    </w:p>
    <w:p>
      <w:pPr>
        <w:pStyle w:val="0"/>
        <w:spacing w:before="200" w:line-rule="auto"/>
        <w:ind w:firstLine="540"/>
        <w:jc w:val="both"/>
      </w:pPr>
      <w:r>
        <w:rPr>
          <w:sz w:val="20"/>
        </w:rPr>
        <w:t xml:space="preserve">отсутствие жалоб и/или клинических проявлений заболевания;</w:t>
      </w:r>
    </w:p>
    <w:p>
      <w:pPr>
        <w:pStyle w:val="0"/>
        <w:spacing w:before="200" w:line-rule="auto"/>
        <w:ind w:firstLine="540"/>
        <w:jc w:val="both"/>
      </w:pPr>
      <w:r>
        <w:rPr>
          <w:sz w:val="20"/>
        </w:rPr>
        <w:t xml:space="preserve">регулярное (не менее одного раза в год) проведение кардиологических обследований.</w:t>
      </w:r>
    </w:p>
    <w:p>
      <w:pPr>
        <w:pStyle w:val="0"/>
        <w:jc w:val="both"/>
      </w:pPr>
      <w:r>
        <w:rPr>
          <w:sz w:val="20"/>
        </w:rPr>
      </w:r>
    </w:p>
    <w:p>
      <w:pPr>
        <w:pStyle w:val="2"/>
        <w:outlineLvl w:val="3"/>
        <w:jc w:val="center"/>
      </w:pPr>
      <w:r>
        <w:rPr>
          <w:sz w:val="20"/>
        </w:rPr>
        <w:t xml:space="preserve">Артериальная гипертензия и гипотензия (I10 - I15, I95)</w:t>
      </w:r>
    </w:p>
    <w:p>
      <w:pPr>
        <w:pStyle w:val="0"/>
        <w:jc w:val="both"/>
      </w:pPr>
      <w:r>
        <w:rPr>
          <w:sz w:val="20"/>
        </w:rPr>
      </w:r>
    </w:p>
    <w:p>
      <w:pPr>
        <w:pStyle w:val="0"/>
        <w:ind w:firstLine="540"/>
        <w:jc w:val="both"/>
      </w:pPr>
      <w:r>
        <w:rPr>
          <w:sz w:val="20"/>
        </w:rPr>
        <w:t xml:space="preserve">85. Кандидаты на получение медицинского заключения 3 класса с выявленным повышением артериального давления &gt;= 140/90 мм рт. ст. подлежат кардиологическому обследованию. На время подбора антигипертензивной терапии кандидаты на получение медицинского заключения 3 класса отстраняются от работы. После подбора антигипертензивной терапии допуск к работе осуществляется по результатам суточного мониторирования артериального давления с величиной среднесуточного артериального давления &lt; 130/80 мм рт. ст. и при отсутствии эпизодов артериальной гипотензии &lt; 90/60 мм рт. ст.</w:t>
      </w:r>
    </w:p>
    <w:p>
      <w:pPr>
        <w:pStyle w:val="0"/>
        <w:spacing w:before="200" w:line-rule="auto"/>
        <w:ind w:firstLine="540"/>
        <w:jc w:val="both"/>
      </w:pPr>
      <w:r>
        <w:rPr>
          <w:sz w:val="20"/>
        </w:rPr>
        <w:t xml:space="preserve">86. Допускается выдача медицинского заключения 3 класса без применения ограничений при стабильном уровне артериального давления &lt; 140/90 мм рт. ст. в том случае, если кандидаты на получение медицинского заключения 3 класса минимизировали все корригируемые факторы сердечно-сосудистого риска до приемлемого уровня и в случае необходимости получают медикаментозную терапию.</w:t>
      </w:r>
    </w:p>
    <w:p>
      <w:pPr>
        <w:pStyle w:val="0"/>
        <w:spacing w:before="200" w:line-rule="auto"/>
        <w:ind w:firstLine="540"/>
        <w:jc w:val="both"/>
      </w:pPr>
      <w:r>
        <w:rPr>
          <w:sz w:val="20"/>
        </w:rPr>
        <w:t xml:space="preserve">87. При наличии сахарного диабета или микроальбуминурии целевые значения артериального давления не должны превышать 130/80 мм рт. ст.</w:t>
      </w:r>
    </w:p>
    <w:p>
      <w:pPr>
        <w:pStyle w:val="0"/>
        <w:spacing w:before="200" w:line-rule="auto"/>
        <w:ind w:firstLine="540"/>
        <w:jc w:val="both"/>
      </w:pPr>
      <w:r>
        <w:rPr>
          <w:sz w:val="20"/>
        </w:rPr>
        <w:t xml:space="preserve">88. Медицинское заключение 3 класса не выдается:</w:t>
      </w:r>
    </w:p>
    <w:p>
      <w:pPr>
        <w:pStyle w:val="0"/>
        <w:spacing w:before="200" w:line-rule="auto"/>
        <w:ind w:firstLine="540"/>
        <w:jc w:val="both"/>
      </w:pPr>
      <w:r>
        <w:rPr>
          <w:sz w:val="20"/>
        </w:rPr>
        <w:t xml:space="preserve">при вторичной артериальной гипертензии без лечения основного заболевания;</w:t>
      </w:r>
    </w:p>
    <w:p>
      <w:pPr>
        <w:pStyle w:val="0"/>
        <w:spacing w:before="200" w:line-rule="auto"/>
        <w:ind w:firstLine="540"/>
        <w:jc w:val="both"/>
      </w:pPr>
      <w:r>
        <w:rPr>
          <w:sz w:val="20"/>
        </w:rPr>
        <w:t xml:space="preserve">при стойком повышении уровня артериального давления у обладателей свидетельств, превышающем 160/95 мм рт. ст.</w:t>
      </w:r>
    </w:p>
    <w:p>
      <w:pPr>
        <w:pStyle w:val="0"/>
        <w:spacing w:before="200" w:line-rule="auto"/>
        <w:ind w:firstLine="540"/>
        <w:jc w:val="both"/>
      </w:pPr>
      <w:r>
        <w:rPr>
          <w:sz w:val="20"/>
        </w:rPr>
        <w:t xml:space="preserve">89. Обладатели свидетельств с артериальной гипертензией подлежат ежегодному кардиологическому обследованию.</w:t>
      </w:r>
    </w:p>
    <w:p>
      <w:pPr>
        <w:pStyle w:val="0"/>
        <w:spacing w:before="200" w:line-rule="auto"/>
        <w:ind w:firstLine="540"/>
        <w:jc w:val="both"/>
      </w:pPr>
      <w:r>
        <w:rPr>
          <w:sz w:val="20"/>
        </w:rPr>
        <w:t xml:space="preserve">90. Кандидаты на получение медицинского заключения 3 класса с артериальной гипотензией &lt; 90 мм рт. ст., сопровождающейся клинической симптоматикой, признаются не годными к обучению и работе.</w:t>
      </w:r>
    </w:p>
    <w:p>
      <w:pPr>
        <w:pStyle w:val="0"/>
        <w:jc w:val="both"/>
      </w:pPr>
      <w:r>
        <w:rPr>
          <w:sz w:val="20"/>
        </w:rPr>
      </w:r>
    </w:p>
    <w:p>
      <w:pPr>
        <w:pStyle w:val="2"/>
        <w:outlineLvl w:val="2"/>
        <w:jc w:val="center"/>
      </w:pPr>
      <w:r>
        <w:rPr>
          <w:sz w:val="20"/>
        </w:rPr>
        <w:t xml:space="preserve">II. Периферические артерии и венозная система (I70 - I89)</w:t>
      </w:r>
    </w:p>
    <w:p>
      <w:pPr>
        <w:pStyle w:val="0"/>
        <w:jc w:val="both"/>
      </w:pPr>
      <w:r>
        <w:rPr>
          <w:sz w:val="20"/>
        </w:rPr>
      </w:r>
    </w:p>
    <w:p>
      <w:pPr>
        <w:pStyle w:val="0"/>
        <w:ind w:firstLine="540"/>
        <w:jc w:val="both"/>
      </w:pPr>
      <w:r>
        <w:rPr>
          <w:sz w:val="20"/>
        </w:rPr>
        <w:t xml:space="preserve">91. При облитерирующих заболеваниях артерий с наличием болевого синдрома, трофических расстройствах выносится заключение о негодности к обучению и работе (I70).</w:t>
      </w:r>
    </w:p>
    <w:p>
      <w:pPr>
        <w:pStyle w:val="0"/>
        <w:spacing w:before="200" w:line-rule="auto"/>
        <w:ind w:firstLine="540"/>
        <w:jc w:val="both"/>
      </w:pPr>
      <w:r>
        <w:rPr>
          <w:sz w:val="20"/>
        </w:rPr>
        <w:t xml:space="preserve">92. Наличие аневризмы артериального сосуда, тромба в артерии или вене, атеросклеротической бляшки, препятствующей достаточному кровообращению в компетенции соответствующего бассейна, является основанием для определения негодности к обучению и работе. Диагностированная артериальная аневризма (I72) на фоне имеющихся клинических проявлений или аневризматическое расширение диаметром более 5 см является основанием для определения негодности к обучению и работе. После проведенного хирургического лечения при благоприятном исходе возможна аттестация на медицинское заключение 3 класса не ранее чем 1 месяц в зависимости от локализации аневризмы и примененной технологии вмешательства. Аневризма аорты (I71) является основанием для отказа в выдаче медицинского заключения 3 класса.</w:t>
      </w:r>
    </w:p>
    <w:p>
      <w:pPr>
        <w:pStyle w:val="0"/>
        <w:spacing w:before="200" w:line-rule="auto"/>
        <w:ind w:firstLine="540"/>
        <w:jc w:val="both"/>
      </w:pPr>
      <w:r>
        <w:rPr>
          <w:sz w:val="20"/>
        </w:rPr>
        <w:t xml:space="preserve">93. При варикозном расширении вен (I83) с признаками трофических расстройств, декомпенсации кровообращения выносится заключение о негодности к обучению и работе. Сроки восстановления на летную работу зависят от вида хирургического пособия, но составляют не менее 3 недель. Решение о годности после вмешательства принимается совместно с ангиохирургом, при необходимости - по результатам дополнительного контрольного обследования.</w:t>
      </w:r>
    </w:p>
    <w:p>
      <w:pPr>
        <w:pStyle w:val="0"/>
        <w:spacing w:before="200" w:line-rule="auto"/>
        <w:ind w:firstLine="540"/>
        <w:jc w:val="both"/>
      </w:pPr>
      <w:r>
        <w:rPr>
          <w:sz w:val="20"/>
        </w:rPr>
        <w:t xml:space="preserve">94. После перенесенного тромбоза в поверхностных и глубоких венах конечностей (I80) вопрос о допуске к обучению и работе решается через 2 недели после отмены антикоагулянтной терапии при отсутствии тромботических масс в вене по данным ультразвукового исследования и не менее чем через 3 недели после хирургического лечения. Решение о необходимости хирургического лечения принимается на основании данных инструментального обследования, клинической картины, заключения ангиохирурга. При посттромбофлебитической болезни выносится заключение о негодности к обучению и работе (I87.0).</w:t>
      </w:r>
    </w:p>
    <w:p>
      <w:pPr>
        <w:pStyle w:val="0"/>
        <w:jc w:val="both"/>
      </w:pPr>
      <w:r>
        <w:rPr>
          <w:sz w:val="20"/>
        </w:rPr>
      </w:r>
    </w:p>
    <w:p>
      <w:pPr>
        <w:pStyle w:val="2"/>
        <w:outlineLvl w:val="2"/>
        <w:jc w:val="center"/>
      </w:pPr>
      <w:r>
        <w:rPr>
          <w:sz w:val="20"/>
        </w:rPr>
        <w:t xml:space="preserve">III. Система органов дыхания J00 - J99</w:t>
      </w:r>
    </w:p>
    <w:p>
      <w:pPr>
        <w:pStyle w:val="0"/>
        <w:jc w:val="both"/>
      </w:pPr>
      <w:r>
        <w:rPr>
          <w:sz w:val="20"/>
        </w:rPr>
      </w:r>
    </w:p>
    <w:p>
      <w:pPr>
        <w:pStyle w:val="0"/>
        <w:ind w:firstLine="540"/>
        <w:jc w:val="both"/>
      </w:pPr>
      <w:r>
        <w:rPr>
          <w:sz w:val="20"/>
        </w:rPr>
        <w:t xml:space="preserve">95. В случае если кандидаты на получение медицинского заключения не имеют функциональных или структурных органических заболеваний дыхательной системы, которые могут помешать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96. Кандидаты на получение медицинского заключения со значительным нарушением функций легких признаются не годными к обучению и работе. Признание годности проводится после восстановления функций легких и при их удовлетворительного состояния по результатам исследований. При этом ОФВ1, ЖЕЛ должны быть в пределах нормы.</w:t>
      </w:r>
    </w:p>
    <w:p>
      <w:pPr>
        <w:pStyle w:val="0"/>
        <w:spacing w:before="200" w:line-rule="auto"/>
        <w:ind w:firstLine="540"/>
        <w:jc w:val="both"/>
      </w:pPr>
      <w:r>
        <w:rPr>
          <w:sz w:val="20"/>
        </w:rPr>
        <w:t xml:space="preserve">97. Болезни органов дыхания с выраженным нарушением функций и/или склонные к обострениям - бронхиальная астма (J45), бронхоэктатическая болезнь (J47), активный саркоидоз (D86), хроническая обструктивная болезнь легких (ХОБЛ) (J44), интерстициальные заболевания легких (J84) с выраженным нарушением функции внешнего дыхания, синдром обструктивного апноэ сна (G47.3), крупное оперативное вмешательство на органах грудной клетки, пульмонэктомия (Z98.8) являются основаниями для вынесения заключения о негодности к обучению и работе.</w:t>
      </w:r>
    </w:p>
    <w:p>
      <w:pPr>
        <w:pStyle w:val="0"/>
        <w:spacing w:before="200" w:line-rule="auto"/>
        <w:ind w:firstLine="540"/>
        <w:jc w:val="both"/>
      </w:pPr>
      <w:r>
        <w:rPr>
          <w:sz w:val="20"/>
        </w:rPr>
        <w:t xml:space="preserve">98. Лица, перенесшие спонтанный пневмоторакс (Z93), подлежат восстановлению на работу не ранее чем через 6 недель после выздоровления от одного спонтанного пневмоторакса при условии, что обследование не выявило причины для его повторного возникновения, или выздоровления после хирургического вмешательства в случае рецидивирования пневмоторакса. Повторный пневмоторакс без хирургического лечения восстановление исключает.</w:t>
      </w:r>
    </w:p>
    <w:p>
      <w:pPr>
        <w:pStyle w:val="0"/>
        <w:spacing w:before="200" w:line-rule="auto"/>
        <w:ind w:firstLine="540"/>
        <w:jc w:val="both"/>
      </w:pPr>
      <w:r>
        <w:rPr>
          <w:sz w:val="20"/>
        </w:rPr>
        <w:t xml:space="preserve">99. Кандидаты на получение медицинского заключения с ХОБЛ в стадии ремиссии и сохранением функции дыхания допускаются к работе без ограничений. При умеренных нарушениях функции дыхания с ОФВ1, ЖЕЛ не менее 70% применяется ограничение TML с расширенным обследованием дыхательной и сердечно-сосудистой систем при каждом возобновлении или продлении медицинского заключения.</w:t>
      </w:r>
    </w:p>
    <w:p>
      <w:pPr>
        <w:pStyle w:val="0"/>
        <w:spacing w:before="200" w:line-rule="auto"/>
        <w:ind w:firstLine="540"/>
        <w:jc w:val="both"/>
      </w:pPr>
      <w:r>
        <w:rPr>
          <w:sz w:val="20"/>
        </w:rPr>
        <w:t xml:space="preserve">100. При проникающем ранении грудной клетки, при наличии инородных тел в грудной стенке или в легочной ткани, отдаленных от крупных сосудов сердца и не дающих клинических проявлений, при хорошей функции внешнего дыхания возможно определение годности.</w:t>
      </w:r>
    </w:p>
    <w:p>
      <w:pPr>
        <w:pStyle w:val="0"/>
        <w:spacing w:before="200" w:line-rule="auto"/>
        <w:ind w:firstLine="540"/>
        <w:jc w:val="both"/>
      </w:pPr>
      <w:r>
        <w:rPr>
          <w:sz w:val="20"/>
        </w:rPr>
        <w:t xml:space="preserve">101. Кандидаты на получение медицинского заключения с активными формами туберкулеза органов дыхания (A15) или с выраженными остаточными изменениями признаются не годными к обучению и работе.</w:t>
      </w:r>
    </w:p>
    <w:p>
      <w:pPr>
        <w:pStyle w:val="0"/>
        <w:spacing w:before="200" w:line-rule="auto"/>
        <w:ind w:firstLine="540"/>
        <w:jc w:val="both"/>
      </w:pPr>
      <w:r>
        <w:rPr>
          <w:sz w:val="20"/>
        </w:rPr>
        <w:t xml:space="preserve">102. Кандидаты на получение медицинского заключения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апикальные или плевральные наслоения) без смещения органов средостения с умеренным нарушением функции внешнего дыхания допускаются к работе не ранее чем через 6 месяцев с обязательным обследованием легочной и сердечно-сосудистой систем.</w:t>
      </w:r>
    </w:p>
    <w:p>
      <w:pPr>
        <w:pStyle w:val="0"/>
        <w:spacing w:before="200" w:line-rule="auto"/>
        <w:ind w:firstLine="540"/>
        <w:jc w:val="both"/>
      </w:pPr>
      <w:r>
        <w:rPr>
          <w:sz w:val="20"/>
        </w:rPr>
        <w:t xml:space="preserve">103. При восстановлении на работу кандидаты на получение медицинского заключения после закрытия листка нетрудоспособности представляют заключение противотуберкулезного диспансера с разрешением на допуск к работе.</w:t>
      </w:r>
    </w:p>
    <w:p>
      <w:pPr>
        <w:pStyle w:val="0"/>
        <w:spacing w:before="200" w:line-rule="auto"/>
        <w:ind w:firstLine="540"/>
        <w:jc w:val="both"/>
      </w:pPr>
      <w:r>
        <w:rPr>
          <w:sz w:val="20"/>
        </w:rPr>
        <w:t xml:space="preserve">104. После операции по поводу заболеваний органов грудной полости и средостения, пороков развития, патологии грудной клетки и диафрагмы кандидаты на получение медицинского заключения признаются годными к работе после контрольного обследования при достаточном восстановлении дыхательной функции при индексе Тиффно не менее 60%.</w:t>
      </w:r>
    </w:p>
    <w:p>
      <w:pPr>
        <w:pStyle w:val="0"/>
        <w:spacing w:before="200" w:line-rule="auto"/>
        <w:ind w:firstLine="540"/>
        <w:jc w:val="both"/>
      </w:pPr>
      <w:r>
        <w:rPr>
          <w:sz w:val="20"/>
        </w:rPr>
        <w:t xml:space="preserve">105.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 к обучению и работе.</w:t>
      </w:r>
    </w:p>
    <w:p>
      <w:pPr>
        <w:pStyle w:val="0"/>
        <w:spacing w:before="200" w:line-rule="auto"/>
        <w:ind w:firstLine="540"/>
        <w:jc w:val="both"/>
      </w:pPr>
      <w:r>
        <w:rPr>
          <w:sz w:val="20"/>
        </w:rPr>
        <w:t xml:space="preserve">106. Кандидаты на получение медицинского заключения с активным саркоидозом (D86) признаются не годными к обучению и работе. Восстановление на работу может быть не ранее чем через 6 месяцев после заболевания при полной ремиссии заболевания, отмене медикаментозной терапии с сохранением функции дыхания.</w:t>
      </w:r>
    </w:p>
    <w:p>
      <w:pPr>
        <w:pStyle w:val="0"/>
        <w:spacing w:before="200" w:line-rule="auto"/>
        <w:ind w:firstLine="540"/>
        <w:jc w:val="both"/>
      </w:pPr>
      <w:r>
        <w:rPr>
          <w:sz w:val="20"/>
        </w:rPr>
        <w:t xml:space="preserve">Кандидаты на обучение с любой формой саркоидоза признаются не годными к обучению и работе.</w:t>
      </w:r>
    </w:p>
    <w:p>
      <w:pPr>
        <w:pStyle w:val="0"/>
        <w:jc w:val="both"/>
      </w:pPr>
      <w:r>
        <w:rPr>
          <w:sz w:val="20"/>
        </w:rPr>
      </w:r>
    </w:p>
    <w:p>
      <w:pPr>
        <w:pStyle w:val="2"/>
        <w:outlineLvl w:val="2"/>
        <w:jc w:val="center"/>
      </w:pPr>
      <w:r>
        <w:rPr>
          <w:sz w:val="20"/>
        </w:rPr>
        <w:t xml:space="preserve">IV. Пищеварительная система (K00 - K93)</w:t>
      </w:r>
    </w:p>
    <w:p>
      <w:pPr>
        <w:pStyle w:val="0"/>
        <w:jc w:val="both"/>
      </w:pPr>
      <w:r>
        <w:rPr>
          <w:sz w:val="20"/>
        </w:rPr>
      </w:r>
    </w:p>
    <w:p>
      <w:pPr>
        <w:pStyle w:val="0"/>
        <w:ind w:firstLine="540"/>
        <w:jc w:val="both"/>
      </w:pPr>
      <w:r>
        <w:rPr>
          <w:sz w:val="20"/>
        </w:rPr>
        <w:t xml:space="preserve">107. В случае если кандидаты на получение медицинского заключения не имеют функциональных или структурных органических заболеваний желудочно-кишечного тракта, препятствующих безопасному выполнению полномочий,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108. Какие-либо функциональные или структурные органические заболевания пищеварительной системы, препятствующие безопасному выполнению профессиональных обязанностей, предусмотренных соответствующим свидетельством, являются причиной вынесения заключения о негодности к обучению и работе. Кандидаты на получение медицинского заключения с какими-либо последствиями заболеваний или хирургического вмешательства на органах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 годные к обучению и работе.</w:t>
      </w:r>
    </w:p>
    <w:p>
      <w:pPr>
        <w:pStyle w:val="0"/>
        <w:spacing w:before="200" w:line-rule="auto"/>
        <w:ind w:firstLine="540"/>
        <w:jc w:val="both"/>
      </w:pPr>
      <w:r>
        <w:rPr>
          <w:sz w:val="20"/>
        </w:rPr>
        <w:t xml:space="preserve">109. Кандидаты на получение медицинского заключения 3 класса с патологией желудочно-кишечного тракта (рецидивирующие диспепсические расстройства (K58), требующие медикаментозного лечения; гепатиты в активной стадии (K73); цирроз печени (K74.3 - K74.6); симптомная желчнокаменная болезнь или бессимптомная с небольшими многочисленными камнями (K80); острое или хроническое воспалительное заболевание кишечника (K50 - K52)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(K91) рассматриваются как не годные к работе.</w:t>
      </w:r>
    </w:p>
    <w:p>
      <w:pPr>
        <w:pStyle w:val="0"/>
        <w:spacing w:before="200" w:line-rule="auto"/>
        <w:ind w:firstLine="540"/>
        <w:jc w:val="both"/>
      </w:pPr>
      <w:r>
        <w:rPr>
          <w:sz w:val="20"/>
        </w:rPr>
        <w:t xml:space="preserve">110. Годность к работе рассматривается после успешно проведенного лечения или полного выздоровления после перенесенного хирургического вмешательства и по удовлетворительным результатам расширенного гастроэнтерологического обследования.</w:t>
      </w:r>
    </w:p>
    <w:p>
      <w:pPr>
        <w:pStyle w:val="0"/>
        <w:spacing w:before="200" w:line-rule="auto"/>
        <w:ind w:firstLine="540"/>
        <w:jc w:val="both"/>
      </w:pPr>
      <w:r>
        <w:rPr>
          <w:sz w:val="20"/>
        </w:rPr>
        <w:t xml:space="preserve">111. При варикозном расширении вен пищевода (I85), независимо от этиологии и клинических проявлений заболевания, кандидаты на получение медицинского заключения признаются не годными к обучению и работе без права восстановления.</w:t>
      </w:r>
    </w:p>
    <w:p>
      <w:pPr>
        <w:pStyle w:val="0"/>
        <w:spacing w:before="200" w:line-rule="auto"/>
        <w:ind w:firstLine="540"/>
        <w:jc w:val="both"/>
      </w:pPr>
      <w:r>
        <w:rPr>
          <w:sz w:val="20"/>
        </w:rPr>
        <w:t xml:space="preserve">112. При осложнениях язвенной болезни (рецидивы, кровотечение, перфорация, пенетрации) (K25.0 - K25.6) проводится лечение с последующим эндоскопическим контролем заживления язвы. При подтвержденном "закрытии" язвенного дефекта, при отсутствии необходимости продолжения медикаментозной терапии и наблюдении в течение не менее 8 недель выдается медицинское заключение о годности к обучению и работе с проведением в межкомиссионный период ЭФГДС каждые 6 месяцев, контролем уровня гемоглобина и консультацией гастроэнтеролога.</w:t>
      </w:r>
    </w:p>
    <w:p>
      <w:pPr>
        <w:pStyle w:val="0"/>
        <w:spacing w:before="200" w:line-rule="auto"/>
        <w:ind w:firstLine="540"/>
        <w:jc w:val="both"/>
      </w:pPr>
      <w:r>
        <w:rPr>
          <w:sz w:val="20"/>
        </w:rPr>
        <w:t xml:space="preserve">113. Медицинское заключение при хронических диффузных заболеваниях печени зависит от клинической формы, стадии и активности процесса. Допуск к работе разрешается после расширенного обследования при условии стойкой ремиссии и сохранности функций органа. При выявлении носительства вируса гепатитов B и C (Z22) без признаков заболевания (отсутствие синдрома цитолиза) кандидаты на получение медицинского заключения 3 класса допускаются к работе. Кандидаты на получение медицинского заключения с доброкачественной функциональной билирубинемией после обследования признаются годными к работе и обучению.</w:t>
      </w:r>
    </w:p>
    <w:p>
      <w:pPr>
        <w:pStyle w:val="0"/>
        <w:spacing w:before="200" w:line-rule="auto"/>
        <w:ind w:firstLine="540"/>
        <w:jc w:val="both"/>
      </w:pPr>
      <w:r>
        <w:rPr>
          <w:sz w:val="20"/>
        </w:rPr>
        <w:t xml:space="preserve">114. Острые гепатиты (K72.0), хронические гепатиты с высокой и средней степенью активности (K73) (любой этиологии), острые панкреатиты (K85), острые холециститы (K81.0), хронические панкреатиты (K86.1) и хронические холециститы (K81.1) в стадии обострения, проводимое противовирусное лечение (интерфероны) определяют негодность к работе и обучению. При гепатите С вопрос о допуске к работе рассматривается через 6 месяцев после лечения по достижении стадии стойкой полной ремиссии по результатам гастроэнтерологического и иммунологического обследования. Допуск кандидатов к обучению разрешается при полной ремиссии.</w:t>
      </w:r>
    </w:p>
    <w:p>
      <w:pPr>
        <w:pStyle w:val="0"/>
        <w:spacing w:before="200" w:line-rule="auto"/>
        <w:ind w:firstLine="540"/>
        <w:jc w:val="both"/>
      </w:pPr>
      <w:r>
        <w:rPr>
          <w:sz w:val="20"/>
        </w:rPr>
        <w:t xml:space="preserve">115. При установлении диагноза цирроза печени (K74.3 - K74.6) принимается решение о негодности к обучению и работе.</w:t>
      </w:r>
    </w:p>
    <w:p>
      <w:pPr>
        <w:pStyle w:val="0"/>
        <w:spacing w:before="200" w:line-rule="auto"/>
        <w:ind w:firstLine="540"/>
        <w:jc w:val="both"/>
      </w:pPr>
      <w:r>
        <w:rPr>
          <w:sz w:val="20"/>
        </w:rPr>
        <w:t xml:space="preserve">116. При холецистолитиазе с бессимптомным одиночным крупным камнем рекомендуется проведение мероприятий по его удалению в плановом порядке в межкомиссионный период.</w:t>
      </w:r>
    </w:p>
    <w:p>
      <w:pPr>
        <w:pStyle w:val="0"/>
        <w:spacing w:before="200" w:line-rule="auto"/>
        <w:ind w:firstLine="540"/>
        <w:jc w:val="both"/>
      </w:pPr>
      <w:r>
        <w:rPr>
          <w:sz w:val="20"/>
        </w:rPr>
        <w:t xml:space="preserve">117. Кандидаты на получение медицинского заключения 3 класса с хроническим воспалительным заболеванием кишечника (K63) признаются годными с ограничением TML на протяжении 2 лет, если болезнь находится в установившейся ремиссии, состояние является стабильным и нет необходимости в применении стероидов системного действия.</w:t>
      </w:r>
    </w:p>
    <w:p>
      <w:pPr>
        <w:pStyle w:val="0"/>
        <w:spacing w:before="200" w:line-rule="auto"/>
        <w:ind w:firstLine="540"/>
        <w:jc w:val="both"/>
      </w:pPr>
      <w:r>
        <w:rPr>
          <w:sz w:val="20"/>
        </w:rPr>
        <w:t xml:space="preserve">118. Кандидаты на получение медицинского заключения 3 класса с язвенным колитом (K51) и болезнью Крона (K50) признаются не годными к обучению и работе. Решение о годности может быть принято с применением официального медицинского заключения.</w:t>
      </w:r>
    </w:p>
    <w:p>
      <w:pPr>
        <w:pStyle w:val="0"/>
        <w:spacing w:before="200" w:line-rule="auto"/>
        <w:ind w:firstLine="540"/>
        <w:jc w:val="both"/>
      </w:pPr>
      <w:r>
        <w:rPr>
          <w:sz w:val="20"/>
        </w:rPr>
        <w:t xml:space="preserve">119. При спаечной болезни с выраженными клиническими проявлениями кандидаты на получение медицинского заключения 3 класса признаются не годными к обучению и работе. Долихосигма (Q43.8) без клинических проявлений не является основанием для решения о негодности к обучению и работе.</w:t>
      </w:r>
    </w:p>
    <w:p>
      <w:pPr>
        <w:pStyle w:val="0"/>
        <w:spacing w:before="200" w:line-rule="auto"/>
        <w:ind w:firstLine="540"/>
        <w:jc w:val="both"/>
      </w:pPr>
      <w:r>
        <w:rPr>
          <w:sz w:val="20"/>
        </w:rPr>
        <w:t xml:space="preserve">120. Кандидаты на получение медицинского заключения при наличии у них послеоперационных рубцов на брюшной стенке представляют документы о характере перенесенной операции.</w:t>
      </w:r>
    </w:p>
    <w:p>
      <w:pPr>
        <w:pStyle w:val="0"/>
        <w:spacing w:before="200" w:line-rule="auto"/>
        <w:ind w:firstLine="540"/>
        <w:jc w:val="both"/>
      </w:pPr>
      <w:r>
        <w:rPr>
          <w:sz w:val="20"/>
        </w:rPr>
        <w:t xml:space="preserve">121. Диагностированная грыжа (K40 - K46),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w:t>
      </w:r>
    </w:p>
    <w:p>
      <w:pPr>
        <w:pStyle w:val="0"/>
        <w:spacing w:before="200" w:line-rule="auto"/>
        <w:ind w:firstLine="540"/>
        <w:jc w:val="both"/>
      </w:pPr>
      <w:r>
        <w:rPr>
          <w:sz w:val="20"/>
        </w:rPr>
        <w:t xml:space="preserve">122. Кандидаты на получение медицинского заключения с заболеваниями прямой кишки и параректальной клетчатки (K60 - K63)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 годными к обучению и работе.</w:t>
      </w:r>
    </w:p>
    <w:p>
      <w:pPr>
        <w:pStyle w:val="0"/>
        <w:spacing w:before="200" w:line-rule="auto"/>
        <w:ind w:firstLine="540"/>
        <w:jc w:val="both"/>
      </w:pPr>
      <w:r>
        <w:rPr>
          <w:sz w:val="20"/>
        </w:rPr>
        <w:t xml:space="preserve">123. При благоприятных результатах терапевтического и хирургического лечения и восстановлении функций прямой кишки вопрос о годности к обучению и работе рассматривается после выздоровления.</w:t>
      </w:r>
    </w:p>
    <w:p>
      <w:pPr>
        <w:pStyle w:val="0"/>
        <w:jc w:val="both"/>
      </w:pPr>
      <w:r>
        <w:rPr>
          <w:sz w:val="20"/>
        </w:rPr>
      </w:r>
    </w:p>
    <w:p>
      <w:pPr>
        <w:pStyle w:val="2"/>
        <w:outlineLvl w:val="2"/>
        <w:jc w:val="center"/>
      </w:pPr>
      <w:r>
        <w:rPr>
          <w:sz w:val="20"/>
        </w:rPr>
        <w:t xml:space="preserve">V. Метаболические нарушения и эндокринная система</w:t>
      </w:r>
    </w:p>
    <w:p>
      <w:pPr>
        <w:pStyle w:val="2"/>
        <w:jc w:val="center"/>
      </w:pPr>
      <w:r>
        <w:rPr>
          <w:sz w:val="20"/>
        </w:rPr>
        <w:t xml:space="preserve">(E00 - E90)</w:t>
      </w:r>
    </w:p>
    <w:p>
      <w:pPr>
        <w:pStyle w:val="0"/>
        <w:jc w:val="both"/>
      </w:pPr>
      <w:r>
        <w:rPr>
          <w:sz w:val="20"/>
        </w:rPr>
      </w:r>
    </w:p>
    <w:p>
      <w:pPr>
        <w:pStyle w:val="0"/>
        <w:ind w:firstLine="540"/>
        <w:jc w:val="both"/>
      </w:pPr>
      <w:r>
        <w:rPr>
          <w:sz w:val="20"/>
        </w:rPr>
        <w:t xml:space="preserve">124. В случае если кандидаты на получение медицинского заключения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125. Кандидаты на получение медицинского заключения с метаболическими или эндокринными нарушениями признаются годными к обучению и работе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p>
      <w:pPr>
        <w:pStyle w:val="0"/>
        <w:spacing w:before="200" w:line-rule="auto"/>
        <w:ind w:firstLine="540"/>
        <w:jc w:val="both"/>
      </w:pPr>
      <w:r>
        <w:rPr>
          <w:sz w:val="20"/>
        </w:rPr>
        <w:t xml:space="preserve">126. Кандидаты на получение медицинского заключения 3 класса с выраженными формами болезней эндокринной системы признаются не годными к обучению и работе, в том числе с сахарным диабетом 1 типа (инсулинозависимый) (E10). Кандидаты на получение медицинского заключения с инсулиннезависимым сахарным диабетом 2 типа (E11) оцениваются как не годные к обучению и работе, если не достигается полного контроля за содержанием сахара в крови и требуется постоянный прием гипогликемических лекарственных препаратов и инсулина. Допуск к работе осуществляется при полной компенсации углеводного обмена без применения лекарственных препаратов, вызывающих гипогликемию.</w:t>
      </w:r>
    </w:p>
    <w:p>
      <w:pPr>
        <w:pStyle w:val="0"/>
        <w:spacing w:before="200" w:line-rule="auto"/>
        <w:ind w:firstLine="540"/>
        <w:jc w:val="both"/>
      </w:pPr>
      <w:r>
        <w:rPr>
          <w:sz w:val="20"/>
        </w:rPr>
        <w:t xml:space="preserve">127. При впервые выявленной форме сахарного диабета 2 типа обладатель медицинского заключения подлежит наблюдению и лечению в течение срока до 2 месяцев. Допуск к работе осуществляется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(диабетические макро- и микроангиопатии), диабетическая полинейропатия.</w:t>
      </w:r>
    </w:p>
    <w:p>
      <w:pPr>
        <w:pStyle w:val="0"/>
        <w:spacing w:before="200" w:line-rule="auto"/>
        <w:ind w:firstLine="540"/>
        <w:jc w:val="both"/>
      </w:pPr>
      <w:r>
        <w:rPr>
          <w:sz w:val="20"/>
        </w:rPr>
        <w:t xml:space="preserve">128. При выявлении гипогликемии (E16.2), почечной глюкозурии (E74.8) кандидаты на получение медицинского заключения подлежат расширенному обследованию.</w:t>
      </w:r>
    </w:p>
    <w:p>
      <w:pPr>
        <w:pStyle w:val="0"/>
        <w:spacing w:before="200" w:line-rule="auto"/>
        <w:ind w:firstLine="540"/>
        <w:jc w:val="both"/>
      </w:pPr>
      <w:r>
        <w:rPr>
          <w:sz w:val="20"/>
        </w:rPr>
        <w:t xml:space="preserve">129.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p>
      <w:pPr>
        <w:pStyle w:val="0"/>
        <w:spacing w:before="200" w:line-rule="auto"/>
        <w:ind w:firstLine="540"/>
        <w:jc w:val="both"/>
      </w:pPr>
      <w:r>
        <w:rPr>
          <w:sz w:val="20"/>
        </w:rPr>
        <w:t xml:space="preserve">130. Решение о допуске к работе кандидата на получение медицинского заключения при нарушениях функции щитовидной железы принимается после лечения в течение не менее 3 месяцев по достижении стойкого эутиреоидного состояния с ежегодным контролем гормонов щитовидной железы: при тиреотоксикозе (E05) - без применения медикаментозных средств во время работы; при гипотиреозе (E03) - с регулярным приемом подобранной дозы препарата.</w:t>
      </w:r>
    </w:p>
    <w:p>
      <w:pPr>
        <w:pStyle w:val="0"/>
        <w:spacing w:before="200" w:line-rule="auto"/>
        <w:ind w:firstLine="540"/>
        <w:jc w:val="both"/>
      </w:pPr>
      <w:r>
        <w:rPr>
          <w:sz w:val="20"/>
        </w:rPr>
        <w:t xml:space="preserve">131. Лицам с избыточной массой тела проводится обследование для установления характера экзогенно-конституционального ожирения (E66). Степень ожирения устанавливается согласно оценке веса тела по величине индекса массы тела (ИМТ) по Кетле. ИМТ рассчитывается по формуле: вес в кг/рост в м</w:t>
      </w:r>
      <w:r>
        <w:rPr>
          <w:sz w:val="20"/>
          <w:vertAlign w:val="superscript"/>
        </w:rPr>
        <w:t xml:space="preserve">2</w:t>
      </w:r>
      <w:r>
        <w:rPr>
          <w:sz w:val="20"/>
        </w:rPr>
        <w:t xml:space="preserve">. Нормальный вес соответствует ИМТ 20,0 - 25,9; избыточная масса тела - ИМТ 26,0 - 29,9; ожирение 1 степени - ИМТ 30,0 - 34,9; ожирение 2 степени - ИМТ &gt; 35,0.</w:t>
      </w:r>
    </w:p>
    <w:p>
      <w:pPr>
        <w:pStyle w:val="0"/>
        <w:spacing w:before="200" w:line-rule="auto"/>
        <w:ind w:firstLine="540"/>
        <w:jc w:val="both"/>
      </w:pPr>
      <w:r>
        <w:rPr>
          <w:sz w:val="20"/>
        </w:rPr>
        <w:t xml:space="preserve">132. Кандидаты на получение медицинского заключения с ИМТ &gt; 35,0 признаются годными к обучению и работе при условии, что избыток веса не будет препятствовать безопасному осуществлению обязанностей, предусмотренных соответствующим свидетельством, и при удовлетворительных результатах по оценке рисков развития метаболического синдрома.</w:t>
      </w:r>
    </w:p>
    <w:p>
      <w:pPr>
        <w:pStyle w:val="0"/>
        <w:spacing w:before="200" w:line-rule="auto"/>
        <w:ind w:firstLine="540"/>
        <w:jc w:val="both"/>
      </w:pPr>
      <w:r>
        <w:rPr>
          <w:sz w:val="20"/>
        </w:rPr>
        <w:t xml:space="preserve">133. При симптоматическом (вторичном) ожирении эндокринного, церебрального генеза оценка годности проводится по основному заболеванию.</w:t>
      </w:r>
    </w:p>
    <w:p>
      <w:pPr>
        <w:pStyle w:val="0"/>
        <w:jc w:val="both"/>
      </w:pPr>
      <w:r>
        <w:rPr>
          <w:sz w:val="20"/>
        </w:rPr>
      </w:r>
    </w:p>
    <w:p>
      <w:pPr>
        <w:pStyle w:val="2"/>
        <w:outlineLvl w:val="2"/>
        <w:jc w:val="center"/>
      </w:pPr>
      <w:r>
        <w:rPr>
          <w:sz w:val="20"/>
        </w:rPr>
        <w:t xml:space="preserve">VI. Гематология (D45 - D47, D50 - D89, E75.2, E80.0, E80.2,</w:t>
      </w:r>
    </w:p>
    <w:p>
      <w:pPr>
        <w:pStyle w:val="2"/>
        <w:jc w:val="center"/>
      </w:pPr>
      <w:r>
        <w:rPr>
          <w:sz w:val="20"/>
        </w:rPr>
        <w:t xml:space="preserve">E83.0, E83.1, M31.1, C81 - C96)</w:t>
      </w:r>
    </w:p>
    <w:p>
      <w:pPr>
        <w:pStyle w:val="0"/>
        <w:jc w:val="both"/>
      </w:pPr>
      <w:r>
        <w:rPr>
          <w:sz w:val="20"/>
        </w:rPr>
      </w:r>
    </w:p>
    <w:p>
      <w:pPr>
        <w:pStyle w:val="0"/>
        <w:ind w:firstLine="540"/>
        <w:jc w:val="both"/>
      </w:pPr>
      <w:r>
        <w:rPr>
          <w:sz w:val="20"/>
        </w:rPr>
        <w:t xml:space="preserve">134. В случае если кандидаты на получение медицинского заключения не должны имеют гематологических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135. Оценка годности кандидатов на получение медицинского заключения проводится после расширенного обследования и консультации врача-гематолога при наличии гематологических синдромов:</w:t>
      </w:r>
    </w:p>
    <w:p>
      <w:pPr>
        <w:pStyle w:val="0"/>
        <w:spacing w:before="200" w:line-rule="auto"/>
        <w:ind w:firstLine="540"/>
        <w:jc w:val="both"/>
      </w:pPr>
      <w:r>
        <w:rPr>
          <w:sz w:val="20"/>
        </w:rPr>
        <w:t xml:space="preserve">анемический синдром (концентрация гемоглобина менее 120 г/л у женщин и менее 130 г/л у мужчин), при D50 - D59;</w:t>
      </w:r>
    </w:p>
    <w:p>
      <w:pPr>
        <w:pStyle w:val="0"/>
        <w:jc w:val="both"/>
      </w:pPr>
      <w:r>
        <w:rPr>
          <w:sz w:val="20"/>
        </w:rPr>
        <w:t xml:space="preserve">(в ред. </w:t>
      </w:r>
      <w:hyperlink w:history="0" r:id="rId14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нарушения свертываемости крови (наследственные и приобретенные дефициты факторов свертывания крови D66 - D68);</w:t>
      </w:r>
    </w:p>
    <w:p>
      <w:pPr>
        <w:pStyle w:val="0"/>
        <w:spacing w:before="200" w:line-rule="auto"/>
        <w:ind w:firstLine="540"/>
        <w:jc w:val="both"/>
      </w:pPr>
      <w:r>
        <w:rPr>
          <w:sz w:val="20"/>
        </w:rPr>
        <w:t xml:space="preserve">гиперкоагуляционный синдром (наследственные и приобретенные тромбофилии D68.8);</w:t>
      </w:r>
    </w:p>
    <w:p>
      <w:pPr>
        <w:pStyle w:val="0"/>
        <w:spacing w:before="200" w:line-rule="auto"/>
        <w:ind w:firstLine="540"/>
        <w:jc w:val="both"/>
      </w:pPr>
      <w:r>
        <w:rPr>
          <w:sz w:val="20"/>
        </w:rPr>
        <w:t xml:space="preserve">пурпура и другие геморрагические состояния (вторичные тромбоцитопении и идиопатическая тромбоцитопеническая пурпура - D69) - количество тромбоцитов менее 100 x 9/л;</w:t>
      </w:r>
    </w:p>
    <w:p>
      <w:pPr>
        <w:pStyle w:val="0"/>
        <w:spacing w:before="200" w:line-rule="auto"/>
        <w:ind w:firstLine="540"/>
        <w:jc w:val="both"/>
      </w:pPr>
      <w:r>
        <w:rPr>
          <w:sz w:val="20"/>
        </w:rPr>
        <w:t xml:space="preserve">агранулоцитоз (с показателями нейтрофильных лейкоцитов крови </w:t>
      </w:r>
      <w:r>
        <w:rPr>
          <w:position w:val="-5"/>
        </w:rPr>
        <w:drawing>
          <wp:inline distT="0" distB="0" distL="0" distR="0">
            <wp:extent cx="990600" cy="190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val="0"/>
                        </a:ext>
                      </a:extLst>
                    </a:blip>
                    <a:srcRect/>
                    <a:stretch>
                      <a:fillRect/>
                    </a:stretch>
                  </pic:blipFill>
                  <pic:spPr bwMode="auto">
                    <a:xfrm>
                      <a:off x="0" y="0"/>
                      <a:ext cx="990600" cy="190500"/>
                    </a:xfrm>
                    <a:prstGeom prst="rect">
                      <a:avLst/>
                    </a:prstGeom>
                    <a:noFill/>
                    <a:ln>
                      <a:noFill/>
                    </a:ln>
                  </pic:spPr>
                </pic:pic>
              </a:graphicData>
            </a:graphic>
          </wp:inline>
        </w:drawing>
      </w:r>
      <w:r>
        <w:rPr>
          <w:sz w:val="20"/>
        </w:rPr>
        <w:t xml:space="preserve"> и ниже - D70);</w:t>
      </w:r>
    </w:p>
    <w:p>
      <w:pPr>
        <w:pStyle w:val="0"/>
        <w:spacing w:before="200" w:line-rule="auto"/>
        <w:ind w:firstLine="540"/>
        <w:jc w:val="both"/>
      </w:pPr>
      <w:r>
        <w:rPr>
          <w:sz w:val="20"/>
        </w:rPr>
        <w:t xml:space="preserve">при новообразованиях неопределенного и неизвестного характера полицитемии - D45;</w:t>
      </w:r>
    </w:p>
    <w:p>
      <w:pPr>
        <w:pStyle w:val="0"/>
        <w:spacing w:before="200" w:line-rule="auto"/>
        <w:ind w:firstLine="540"/>
        <w:jc w:val="both"/>
      </w:pPr>
      <w:r>
        <w:rPr>
          <w:sz w:val="20"/>
        </w:rPr>
        <w:t xml:space="preserve">впервые выявленные лимфаденопатия и гепатоспленомегалия.</w:t>
      </w:r>
    </w:p>
    <w:p>
      <w:pPr>
        <w:pStyle w:val="0"/>
        <w:spacing w:before="200" w:line-rule="auto"/>
        <w:ind w:firstLine="540"/>
        <w:jc w:val="both"/>
      </w:pPr>
      <w:r>
        <w:rPr>
          <w:sz w:val="20"/>
        </w:rPr>
        <w:t xml:space="preserve">136. При этом годность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p>
      <w:pPr>
        <w:pStyle w:val="0"/>
        <w:spacing w:before="200" w:line-rule="auto"/>
        <w:ind w:firstLine="540"/>
        <w:jc w:val="both"/>
      </w:pPr>
      <w:r>
        <w:rPr>
          <w:sz w:val="20"/>
        </w:rPr>
        <w:t xml:space="preserve">137. Кандидаты на получение медицинского заключения при наличии злокачественных новообразований лимфоидной, кроветворной и родственных им тканей (C81 - C96), не компенсированных тяжелой степенью анемии (D60, D61, D46), тяжелой степенью нарушения свертывание крови (D66 - D68), тяжелой степенью пурпура и других геморрагических состояний (D69), признаются не годными к обучению и работе. Системные заболевания крови являются основанием для принятия решения о негодности к обучению.</w:t>
      </w:r>
    </w:p>
    <w:p>
      <w:pPr>
        <w:pStyle w:val="0"/>
        <w:spacing w:before="200" w:line-rule="auto"/>
        <w:ind w:firstLine="540"/>
        <w:jc w:val="both"/>
      </w:pPr>
      <w:r>
        <w:rPr>
          <w:sz w:val="20"/>
        </w:rPr>
        <w:t xml:space="preserve">138. При новообразованиях лимфоидной, кроветворной и родственных им тканей (C81 - C96) после завершения лечения и достижения полной ремиссии без проявления побочных эффектов лечения (кардиотоксичность, нейротоксичность) при полной и стабильной компенсации функций организма, имеющих значение для безопасности полетов, выносится решение о допуске к работе с ограничением OML/TML.</w:t>
      </w:r>
    </w:p>
    <w:p>
      <w:pPr>
        <w:pStyle w:val="0"/>
        <w:spacing w:before="200" w:line-rule="auto"/>
        <w:ind w:firstLine="540"/>
        <w:jc w:val="both"/>
      </w:pPr>
      <w:r>
        <w:rPr>
          <w:sz w:val="20"/>
        </w:rPr>
        <w:t xml:space="preserve">139. При наличии заболеваний с высоким риском тромбоэмболических осложнений и инсультов (первичный эритроцитоз (D75), эритремии (D45, C92.7), тромбофилии (D68.8), тромботической микроангиопатии (M31.1) определяется негодность к работе (обучению).</w:t>
      </w:r>
    </w:p>
    <w:p>
      <w:pPr>
        <w:pStyle w:val="0"/>
        <w:jc w:val="both"/>
      </w:pPr>
      <w:r>
        <w:rPr>
          <w:sz w:val="20"/>
        </w:rPr>
      </w:r>
    </w:p>
    <w:p>
      <w:pPr>
        <w:pStyle w:val="2"/>
        <w:outlineLvl w:val="2"/>
        <w:jc w:val="center"/>
      </w:pPr>
      <w:r>
        <w:rPr>
          <w:sz w:val="20"/>
        </w:rPr>
        <w:t xml:space="preserve">VII. Мочеполовая система (N00 - N99)</w:t>
      </w:r>
    </w:p>
    <w:p>
      <w:pPr>
        <w:pStyle w:val="0"/>
        <w:jc w:val="both"/>
      </w:pPr>
      <w:r>
        <w:rPr>
          <w:sz w:val="20"/>
        </w:rPr>
      </w:r>
    </w:p>
    <w:p>
      <w:pPr>
        <w:pStyle w:val="0"/>
        <w:ind w:firstLine="540"/>
        <w:jc w:val="both"/>
      </w:pPr>
      <w:r>
        <w:rPr>
          <w:sz w:val="20"/>
        </w:rPr>
        <w:t xml:space="preserve">140. В случае если кандидаты на получение медицинского заключения не имеют функциональных или структурных заболеваний мочеполовой системы,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141. Кандидаты на получение медицинского заключения с какими-либо осложнениями после заболевания или хирургического вмешательства, проведенного на органах мочеполовой системы, которые могут вызвать нетрудоспособность, в том числе с обструкциями, обусловленными сужением или сдавливанием, рассматриваются как не годные к обучению и работе.</w:t>
      </w:r>
    </w:p>
    <w:p>
      <w:pPr>
        <w:pStyle w:val="0"/>
        <w:spacing w:before="200" w:line-rule="auto"/>
        <w:ind w:firstLine="540"/>
        <w:jc w:val="both"/>
      </w:pPr>
      <w:r>
        <w:rPr>
          <w:sz w:val="20"/>
        </w:rPr>
        <w:t xml:space="preserve">142.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сопровождающееся нарушением функций, с болевым синдромом являются основаниями для определения негодности к обучению (N25 - N39). Оценка годности к УВД осуществляется в индивидуальном порядке с выдачей медицинского заключения.</w:t>
      </w:r>
    </w:p>
    <w:p>
      <w:pPr>
        <w:pStyle w:val="0"/>
        <w:spacing w:before="200" w:line-rule="auto"/>
        <w:ind w:firstLine="540"/>
        <w:jc w:val="both"/>
      </w:pPr>
      <w:r>
        <w:rPr>
          <w:sz w:val="20"/>
        </w:rPr>
        <w:t xml:space="preserve">143. Вопрос о восстановлении на работу после оперативного вмешательства на почках, мочеточниках, мочевом пузыре и уретре рассматривается не ранее чем через месяц после операции в зависимости от ее объема и технологии хирургического вмешательства.</w:t>
      </w:r>
    </w:p>
    <w:p>
      <w:pPr>
        <w:pStyle w:val="0"/>
        <w:spacing w:before="200" w:line-rule="auto"/>
        <w:ind w:firstLine="540"/>
        <w:jc w:val="both"/>
      </w:pPr>
      <w:r>
        <w:rPr>
          <w:sz w:val="20"/>
        </w:rPr>
        <w:t xml:space="preserve">144. Медицинское освидетельствование проводится по результатам расширенного урологического обследования, заключение о годности к обучению и работе выносится в зависимости от течения процесса, уровня артериального давления и сохранности функций почек. При показаниях к гемодиализу выносится заключение о негодности к обучению и работе.</w:t>
      </w:r>
    </w:p>
    <w:p>
      <w:pPr>
        <w:pStyle w:val="0"/>
        <w:spacing w:before="200" w:line-rule="auto"/>
        <w:ind w:firstLine="540"/>
        <w:jc w:val="both"/>
      </w:pPr>
      <w:r>
        <w:rPr>
          <w:sz w:val="20"/>
        </w:rPr>
        <w:t xml:space="preserve">145. Кандидаты на получение медицинского заключения,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их увеличения при напряжении брюшного пресса), при головчатой форме гипоспадии признаются годными к обучению и работе. Заключение о годности после оперативного лечения водянки яичка, расширения вен семенного канатика, крипторхизма с низведением яичка возможно не ранее, чем через 3 недели после операции в зависимости от ее вида и использованной технологии хирургического вмешательства.</w:t>
      </w:r>
    </w:p>
    <w:p>
      <w:pPr>
        <w:pStyle w:val="0"/>
        <w:spacing w:before="200" w:line-rule="auto"/>
        <w:ind w:firstLine="540"/>
        <w:jc w:val="both"/>
      </w:pPr>
      <w:r>
        <w:rPr>
          <w:sz w:val="20"/>
        </w:rPr>
        <w:t xml:space="preserve">146. При хронических воспалительных заболеваниях мочеполовых органов специфической и неспецифической этиологии, таких как туберкулез почек и мочеполовых органов (A18.1), пиелонефрит (N11.0), цистит (N30), уретрит (N34), простатит (N41) в фазе активного воспаления, определяется негодность к работе (обучению).</w:t>
      </w:r>
    </w:p>
    <w:p>
      <w:pPr>
        <w:pStyle w:val="0"/>
        <w:spacing w:before="200" w:line-rule="auto"/>
        <w:ind w:firstLine="540"/>
        <w:jc w:val="both"/>
      </w:pPr>
      <w:r>
        <w:rPr>
          <w:sz w:val="20"/>
        </w:rPr>
        <w:t xml:space="preserve">147. Острый гломерулонефрит (N00 - N08) требует лечения в течение 3 - 6 месяцев, после чего решается вопрос о его переходе в хроническую форму.</w:t>
      </w:r>
    </w:p>
    <w:p>
      <w:pPr>
        <w:pStyle w:val="0"/>
        <w:spacing w:before="200" w:line-rule="auto"/>
        <w:ind w:firstLine="540"/>
        <w:jc w:val="both"/>
      </w:pPr>
      <w:r>
        <w:rPr>
          <w:sz w:val="20"/>
        </w:rPr>
        <w:t xml:space="preserve">148. Вопрос о допуске к работе при диагностированном хроническом гломерулонефрите решается на основании выраженности симптоматики.</w:t>
      </w:r>
    </w:p>
    <w:p>
      <w:pPr>
        <w:pStyle w:val="0"/>
        <w:spacing w:before="200" w:line-rule="auto"/>
        <w:ind w:firstLine="540"/>
        <w:jc w:val="both"/>
      </w:pPr>
      <w:r>
        <w:rPr>
          <w:sz w:val="20"/>
        </w:rPr>
        <w:t xml:space="preserve">149. Кандидаты на получение медицинского заключения признаются не годными к обучению и работе при наличии плохо контролируемой артериальной гипертензии, наличии протеинурии, достигающей 2 - 3 г/л, появлении отчетливых признаков почечной недостаточности (креатинин крови - 150 - 200 мкмоль/л и более, белок в моче - 3 г/л и более).</w:t>
      </w:r>
    </w:p>
    <w:p>
      <w:pPr>
        <w:pStyle w:val="0"/>
        <w:spacing w:before="200" w:line-rule="auto"/>
        <w:ind w:firstLine="540"/>
        <w:jc w:val="both"/>
      </w:pPr>
      <w:r>
        <w:rPr>
          <w:sz w:val="20"/>
        </w:rPr>
        <w:t xml:space="preserve">150. Допуск к работе разрешается на укороченный срок (TML) с контрольными осмотрами, измерением артериального давления, ежеквартальными анализами мочи и крови на креатинин в межкомиссионном периоде.</w:t>
      </w:r>
    </w:p>
    <w:p>
      <w:pPr>
        <w:pStyle w:val="0"/>
        <w:spacing w:before="200" w:line-rule="auto"/>
        <w:ind w:firstLine="540"/>
        <w:jc w:val="both"/>
      </w:pPr>
      <w:r>
        <w:rPr>
          <w:sz w:val="20"/>
        </w:rPr>
        <w:t xml:space="preserve">151. Кандидаты на получение медицинского заключения с острым пиелонефритом подлежат лечению. Допуск к работе после перенесенного острого пиелонефрита осуществляется после проведения дополнительных исследований с обязательным проведением УЗИ почек и мочевого пузыря, определения креатинина в крови и моче, степени протеинурии.</w:t>
      </w:r>
    </w:p>
    <w:p>
      <w:pPr>
        <w:pStyle w:val="0"/>
        <w:spacing w:before="200" w:line-rule="auto"/>
        <w:ind w:firstLine="540"/>
        <w:jc w:val="both"/>
      </w:pPr>
      <w:r>
        <w:rPr>
          <w:sz w:val="20"/>
        </w:rPr>
        <w:t xml:space="preserve">152. При хроническом пиелонефрите кандидаты на получение медицинского заключения признаются годными к работе при наличии нормальных показателей анализов крови, отсутствии выраженной протеинурии, лейкоцитурии, регулярном врачебном контроле с проведением анализов крови и мочи каждые 3 месяца. Повышение артериального давления до 160/95 мм рт. ст. вне периодов обострения расценивается как дополнительный неблагоприятный синдром. При этом кандидаты на получение медицинского заключения признаются не годными к работе.</w:t>
      </w:r>
    </w:p>
    <w:p>
      <w:pPr>
        <w:pStyle w:val="0"/>
        <w:spacing w:before="200" w:line-rule="auto"/>
        <w:ind w:firstLine="540"/>
        <w:jc w:val="both"/>
      </w:pPr>
      <w:r>
        <w:rPr>
          <w:sz w:val="20"/>
        </w:rPr>
        <w:t xml:space="preserve">153. После лечения по поводу однократного отхождения камня, почечной колики без отхождения камней, повторных приступов почечной колики кандидаты на получение медицинского заключения признаются годными к работе после прохождения внеочередного медицинского освидетельствования при нормальных лабораторных и инструментальных показателях функции почек.</w:t>
      </w:r>
    </w:p>
    <w:p>
      <w:pPr>
        <w:pStyle w:val="0"/>
        <w:spacing w:before="200" w:line-rule="auto"/>
        <w:ind w:firstLine="540"/>
        <w:jc w:val="both"/>
      </w:pPr>
      <w:r>
        <w:rPr>
          <w:sz w:val="20"/>
        </w:rPr>
        <w:t xml:space="preserve">154. При установлении диагноза мочекаменной болезни (N20 - N23) выносится заключение о негодности к работе (обучению) с рекомендацией оперативного либо консервативного лечения. По окончании хирургического лечения (в том числе после экстракорпоральной литотрипсии) допуск к работе возможен не ранее чем через месяц после вмешательства в зависимости от доступа и вида перенесенной операции при нормальных лабораторных и инструментальных показателях функции почек по результатам расширенного урологического обследования.</w:t>
      </w:r>
    </w:p>
    <w:p>
      <w:pPr>
        <w:pStyle w:val="0"/>
        <w:spacing w:before="200" w:line-rule="auto"/>
        <w:ind w:firstLine="540"/>
        <w:jc w:val="both"/>
      </w:pPr>
      <w:r>
        <w:rPr>
          <w:sz w:val="20"/>
        </w:rPr>
        <w:t xml:space="preserve">155. Вопрос об удалении доброкачественных опухолей половых органов решается после консультации гинеколога (уролога). При аденоме предстательной железы без дизурических расстройств, если по заключению уролога не показано оперативное лечение, кандидаты на получение медицинского заключения признаются годными к обучению и работе.</w:t>
      </w:r>
    </w:p>
    <w:p>
      <w:pPr>
        <w:pStyle w:val="0"/>
        <w:spacing w:before="200" w:line-rule="auto"/>
        <w:ind w:firstLine="540"/>
        <w:jc w:val="both"/>
      </w:pPr>
      <w:r>
        <w:rPr>
          <w:sz w:val="20"/>
        </w:rPr>
        <w:t xml:space="preserve">156. При аденоме предстательной железы (N40), если она осложнилась острой задержкой мочеиспускания, освидетельствование проводится после проведенного оперативного вмешательства при условии, что функция мочевыделительной системы полностью восстановлена.</w:t>
      </w:r>
    </w:p>
    <w:p>
      <w:pPr>
        <w:pStyle w:val="0"/>
        <w:jc w:val="both"/>
      </w:pPr>
      <w:r>
        <w:rPr>
          <w:sz w:val="20"/>
        </w:rPr>
      </w:r>
    </w:p>
    <w:p>
      <w:pPr>
        <w:pStyle w:val="2"/>
        <w:outlineLvl w:val="2"/>
        <w:jc w:val="center"/>
      </w:pPr>
      <w:r>
        <w:rPr>
          <w:sz w:val="20"/>
        </w:rPr>
        <w:t xml:space="preserve">VIII. Инфекционные заболевания (A00 - B99)</w:t>
      </w:r>
    </w:p>
    <w:p>
      <w:pPr>
        <w:pStyle w:val="0"/>
        <w:jc w:val="both"/>
      </w:pPr>
      <w:r>
        <w:rPr>
          <w:sz w:val="20"/>
        </w:rPr>
      </w:r>
    </w:p>
    <w:p>
      <w:pPr>
        <w:pStyle w:val="0"/>
        <w:ind w:firstLine="540"/>
        <w:jc w:val="both"/>
      </w:pPr>
      <w:r>
        <w:rPr>
          <w:sz w:val="20"/>
        </w:rPr>
        <w:t xml:space="preserve">157. В случае если кандидаты на получение медицинского заключения 3 класса не имеют клинических диагнозов каких-либо инфекционных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158. Признание годности ВИЧ-положительных (B20 - B24) кандидатов на получение медицинского заключения с ограничением TML рассматривается для отдельных лиц со стабильной, непрогрессирующей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СПИД и СПИД-ассоциированного комплекса является основанием для дисквалификации.</w:t>
      </w:r>
    </w:p>
    <w:p>
      <w:pPr>
        <w:pStyle w:val="0"/>
        <w:jc w:val="both"/>
      </w:pPr>
      <w:r>
        <w:rPr>
          <w:sz w:val="20"/>
        </w:rPr>
        <w:t xml:space="preserve">(в ред. </w:t>
      </w:r>
      <w:hyperlink w:history="0" r:id="rId15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159. При выявлении у кандидата на получение медицинского заключения инфекций, передающихся преимущественно половым путем (A50 - Aб64), заразных кожных заболеваний, в том числе микозов (B35), чесотки (B86), или подозрении на них подтверждение диагноза и лечение проводятся в специализированном кожно-венерологическом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врача-дерматовенеролога. Кандидаты, страдающие лепрой (AЗ0), признаются не годными к обучению и работе.</w:t>
      </w:r>
    </w:p>
    <w:p>
      <w:pPr>
        <w:pStyle w:val="0"/>
        <w:spacing w:before="200" w:line-rule="auto"/>
        <w:ind w:firstLine="540"/>
        <w:jc w:val="both"/>
      </w:pPr>
      <w:r>
        <w:rPr>
          <w:sz w:val="20"/>
        </w:rPr>
        <w:t xml:space="preserve">160. Хронические инфекционные и паразитарные болезни, выявленные у кандидата на получение медицинского заключения,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обучению и работе.</w:t>
      </w:r>
    </w:p>
    <w:p>
      <w:pPr>
        <w:pStyle w:val="0"/>
        <w:spacing w:before="200" w:line-rule="auto"/>
        <w:ind w:firstLine="540"/>
        <w:jc w:val="both"/>
      </w:pPr>
      <w:r>
        <w:rPr>
          <w:sz w:val="20"/>
        </w:rPr>
        <w:t xml:space="preserve">161. Кандидаты на получение медицинского заключения с хронической стадией описторхоза (B66) допускаются к выполнению профессиональных обязанностей, однако должны находиться под наблюдением врача инфекционного кабинета до снятия с учета.</w:t>
      </w:r>
    </w:p>
    <w:p>
      <w:pPr>
        <w:pStyle w:val="0"/>
        <w:spacing w:before="200" w:line-rule="auto"/>
        <w:ind w:firstLine="540"/>
        <w:jc w:val="both"/>
      </w:pPr>
      <w:r>
        <w:rPr>
          <w:sz w:val="20"/>
        </w:rPr>
        <w:t xml:space="preserve">162. Кандидаты на получение медицинского заключения, перенесшие инфекционный гепатит (B15 - B19), геморрагическую лихорадку (A98 - A99), отстраняются от работы на 3 - 6 месяцев в зависимости от тяжести течения заболевания и результатов лечения. Восстановление на работу возможно после восстановления функций органов и систем организма по результатам обследования.</w:t>
      </w:r>
    </w:p>
    <w:p>
      <w:pPr>
        <w:pStyle w:val="0"/>
        <w:jc w:val="both"/>
      </w:pPr>
      <w:r>
        <w:rPr>
          <w:sz w:val="20"/>
        </w:rPr>
      </w:r>
    </w:p>
    <w:p>
      <w:pPr>
        <w:pStyle w:val="2"/>
        <w:outlineLvl w:val="2"/>
        <w:jc w:val="center"/>
      </w:pPr>
      <w:r>
        <w:rPr>
          <w:sz w:val="20"/>
        </w:rPr>
        <w:t xml:space="preserve">IX. Акушерство и гинекология (N70 - N77) (N80 - N98)</w:t>
      </w:r>
    </w:p>
    <w:p>
      <w:pPr>
        <w:pStyle w:val="2"/>
        <w:jc w:val="center"/>
      </w:pPr>
      <w:r>
        <w:rPr>
          <w:sz w:val="20"/>
        </w:rPr>
        <w:t xml:space="preserve">(O00 - O99)</w:t>
      </w:r>
    </w:p>
    <w:p>
      <w:pPr>
        <w:pStyle w:val="0"/>
        <w:jc w:val="both"/>
      </w:pPr>
      <w:r>
        <w:rPr>
          <w:sz w:val="20"/>
        </w:rPr>
      </w:r>
    </w:p>
    <w:p>
      <w:pPr>
        <w:pStyle w:val="0"/>
        <w:ind w:firstLine="540"/>
        <w:jc w:val="both"/>
      </w:pPr>
      <w:r>
        <w:rPr>
          <w:sz w:val="20"/>
        </w:rPr>
        <w:t xml:space="preserve">163. В случае если кандидаты на получение медицинского заключения не имеют функциональных или структурных гинекологических заболеваний, препятствующих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164. Пороки развития женских половых органов с функциональными нарушениями (N94) (метроррагия, боли), эндометриоз (N80), симптомная миома матки (D25), хронические заболевания женской половой сферы с частыми обострениями (более 3 раз в год), выпадение и опущение половых органов 3 степени (N81), мочеполовые и кишечно-половые свищи (N82), разрывы промежности (O70) с нарушением функции сфинктера заднего прохода являются основаниями для заключения о негодности к работе (обучению).</w:t>
      </w:r>
    </w:p>
    <w:p>
      <w:pPr>
        <w:pStyle w:val="0"/>
        <w:spacing w:before="200" w:line-rule="auto"/>
        <w:ind w:firstLine="540"/>
        <w:jc w:val="both"/>
      </w:pPr>
      <w:r>
        <w:rPr>
          <w:sz w:val="20"/>
        </w:rPr>
        <w:t xml:space="preserve">165. Кистозные образования женской половой сферы размером более 5 см подлежат оперативному лечению. Допуск к работе после хирургического лечения заболеваний женской половой сферы рассматривается при лапароскопической операции через 4 недели после операции, при лапаротомном доступе (без осложнений) - через 2 месяца после операции.</w:t>
      </w:r>
    </w:p>
    <w:p>
      <w:pPr>
        <w:pStyle w:val="0"/>
        <w:spacing w:before="200" w:line-rule="auto"/>
        <w:ind w:firstLine="540"/>
        <w:jc w:val="both"/>
      </w:pPr>
      <w:r>
        <w:rPr>
          <w:sz w:val="20"/>
        </w:rPr>
        <w:t xml:space="preserve">166. Бессимптомная миома матки, эндометриоз, эндометриоидная и фолликуллярная кисты (N83) размером не более 5 см и спаечный процесс в малом тазу без функциональных расстройств, отсутствие тела матки и ее придатков, не сопровождающиеся функциональными нарушениями, не являются основаниями для негодности к обучению и работе.</w:t>
      </w:r>
    </w:p>
    <w:p>
      <w:pPr>
        <w:pStyle w:val="0"/>
        <w:spacing w:before="200" w:line-rule="auto"/>
        <w:ind w:firstLine="540"/>
        <w:jc w:val="both"/>
      </w:pPr>
      <w:r>
        <w:rPr>
          <w:sz w:val="20"/>
        </w:rPr>
        <w:t xml:space="preserve">167. Обладатели медицинского заключения с расстройствами овариально-менструального цикла подлежат обследованию и лечению в межкомиссионный период без отстранения от работы.</w:t>
      </w:r>
    </w:p>
    <w:p>
      <w:pPr>
        <w:pStyle w:val="0"/>
        <w:spacing w:before="200" w:line-rule="auto"/>
        <w:ind w:firstLine="540"/>
        <w:jc w:val="both"/>
      </w:pPr>
      <w:r>
        <w:rPr>
          <w:sz w:val="20"/>
        </w:rPr>
        <w:t xml:space="preserve">168. С момента установления беременности (Z33) авиационный персонал признается не годным к УВД.</w:t>
      </w:r>
    </w:p>
    <w:p>
      <w:pPr>
        <w:pStyle w:val="0"/>
        <w:spacing w:before="200" w:line-rule="auto"/>
        <w:ind w:firstLine="540"/>
        <w:jc w:val="both"/>
      </w:pPr>
      <w:r>
        <w:rPr>
          <w:sz w:val="20"/>
        </w:rPr>
        <w:t xml:space="preserve">Допуск к работе после родов или при прекращении беременности осуществляется по заключению врача - акушера-гинеколога и результатам медицинского освидетельствования.</w:t>
      </w:r>
    </w:p>
    <w:p>
      <w:pPr>
        <w:pStyle w:val="0"/>
        <w:jc w:val="both"/>
      </w:pPr>
      <w:r>
        <w:rPr>
          <w:sz w:val="20"/>
        </w:rPr>
      </w:r>
    </w:p>
    <w:p>
      <w:pPr>
        <w:pStyle w:val="2"/>
        <w:outlineLvl w:val="2"/>
        <w:jc w:val="center"/>
      </w:pPr>
      <w:r>
        <w:rPr>
          <w:sz w:val="20"/>
        </w:rPr>
        <w:t xml:space="preserve">X. Опорно-двигательный аппарат (M00 - M99)</w:t>
      </w:r>
    </w:p>
    <w:p>
      <w:pPr>
        <w:pStyle w:val="0"/>
        <w:jc w:val="both"/>
      </w:pPr>
      <w:r>
        <w:rPr>
          <w:sz w:val="20"/>
        </w:rPr>
      </w:r>
    </w:p>
    <w:p>
      <w:pPr>
        <w:pStyle w:val="0"/>
        <w:ind w:firstLine="540"/>
        <w:jc w:val="both"/>
      </w:pPr>
      <w:r>
        <w:rPr>
          <w:sz w:val="20"/>
        </w:rPr>
        <w:t xml:space="preserve">169. В случае если кандидаты на получение медицинского заключения не имеют нарушений костно-мышечного аппарата, как врожденных, так и приобретенных, препятствующих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170. При дегенеративно-дистрофических процессах в костях позвоночника (M42) (межпозвонковый остеохондроз, спондилоартроз), последствиях травм и операций, рубцах после ожогов (T30) и обморожений с незначительным или умеренным ограничением функций без болевого синдрома, непрогрессирующих, не мешающих ношению одежды и обуви, заключение о годности выносится с оценкой функции и объема движений в суставах.</w:t>
      </w:r>
    </w:p>
    <w:p>
      <w:pPr>
        <w:pStyle w:val="0"/>
        <w:spacing w:before="200" w:line-rule="auto"/>
        <w:ind w:firstLine="540"/>
        <w:jc w:val="both"/>
      </w:pPr>
      <w:r>
        <w:rPr>
          <w:sz w:val="20"/>
        </w:rPr>
        <w:t xml:space="preserve">171. При инфантилизме (R62) вопрос о годности к обучению решается после консультации эндокринолога.</w:t>
      </w:r>
    </w:p>
    <w:p>
      <w:pPr>
        <w:pStyle w:val="0"/>
        <w:spacing w:before="200" w:line-rule="auto"/>
        <w:ind w:firstLine="540"/>
        <w:jc w:val="both"/>
      </w:pPr>
      <w:r>
        <w:rPr>
          <w:sz w:val="20"/>
        </w:rPr>
        <w:t xml:space="preserve">172. Оценка годности к обучению и работе при дефектах кисти, стопы (пороки развития, последствия травмы, хирургического вмешательства) определяется в зависимости от степени функциональной сохранности.</w:t>
      </w:r>
    </w:p>
    <w:p>
      <w:pPr>
        <w:pStyle w:val="0"/>
        <w:spacing w:before="200" w:line-rule="auto"/>
        <w:ind w:firstLine="540"/>
        <w:jc w:val="both"/>
      </w:pPr>
      <w:r>
        <w:rPr>
          <w:sz w:val="20"/>
        </w:rPr>
        <w:t xml:space="preserve">173. После операции на мышцах, сухожилиях, связках, костях и суставах годность к работе (обучению) определяется после восстановления функций. Допустимо укорочение руки или ноги в результате операции (травмы) не более чем на 2 см. При выраженных послеоперационных, посттравматических дефектах функциональная состоятельность оценивается по результатам проверки на тренажере на основании заключения инструктора тренажера о результатах тестирования (оценивается способность легко доставать все органы управления и эффективно работать с ними).</w:t>
      </w:r>
    </w:p>
    <w:p>
      <w:pPr>
        <w:pStyle w:val="0"/>
        <w:spacing w:before="200" w:line-rule="auto"/>
        <w:ind w:firstLine="540"/>
        <w:jc w:val="both"/>
      </w:pPr>
      <w:r>
        <w:rPr>
          <w:sz w:val="20"/>
        </w:rPr>
        <w:t xml:space="preserve">174. В случае отказа от операции при показаниях к оперативному лечению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175. Применение различного рода фиксаторов при остеосинтезе и операциях по протезированию с благоприятным послеоперационным течением, достаточной функциональной состоятельностью по данным анамнеза, осмотра, контрольного рентгенологического исследования, заключению травматолога-ортопеда, не является основанием для вынесения заключения о негодности к обучению и работе.</w:t>
      </w:r>
    </w:p>
    <w:p>
      <w:pPr>
        <w:pStyle w:val="0"/>
        <w:spacing w:before="200" w:line-rule="auto"/>
        <w:ind w:firstLine="540"/>
        <w:jc w:val="both"/>
      </w:pPr>
      <w:r>
        <w:rPr>
          <w:sz w:val="20"/>
        </w:rPr>
        <w:t xml:space="preserve">176. При остеомиелите (M86) при наличии секвестральных полостей, свищей кандидаты на получение медицинского заключения 3 класса не годны к обучению и работе и подлежат лечению (консервативному и/или хирургическому).</w:t>
      </w:r>
    </w:p>
    <w:p>
      <w:pPr>
        <w:pStyle w:val="0"/>
        <w:spacing w:before="200" w:line-rule="auto"/>
        <w:ind w:firstLine="540"/>
        <w:jc w:val="both"/>
      </w:pPr>
      <w:r>
        <w:rPr>
          <w:sz w:val="20"/>
        </w:rPr>
        <w:t xml:space="preserve">177. Морфологические изменения в позвоночнике в виде разрастания краев позвонков, единичных шиловидных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заключения о негодности к обучению и работе.</w:t>
      </w:r>
    </w:p>
    <w:p>
      <w:pPr>
        <w:pStyle w:val="0"/>
        <w:spacing w:before="200" w:line-rule="auto"/>
        <w:ind w:firstLine="540"/>
        <w:jc w:val="both"/>
      </w:pPr>
      <w:r>
        <w:rPr>
          <w:sz w:val="20"/>
        </w:rPr>
        <w:t xml:space="preserve">178. После патологического перелома тел позвонков (независимо от фазы процесса и функционального состояния) кандидаты на получение медицинского заключения 3 класса признаются не годными к обучению и работе. Возможна индивидуальная оценка годности с применением официального медицинского заключения с ограничением TLM.</w:t>
      </w:r>
    </w:p>
    <w:p>
      <w:pPr>
        <w:pStyle w:val="0"/>
        <w:spacing w:before="200" w:line-rule="auto"/>
        <w:ind w:firstLine="540"/>
        <w:jc w:val="both"/>
      </w:pPr>
      <w:r>
        <w:rPr>
          <w:sz w:val="20"/>
        </w:rPr>
        <w:t xml:space="preserve">179. При переломе тел позвонков (S22, S32) с подвывихом, при туберкулезе позвоночника (M49.0) (независимо от фазы процесса и состояния функции) выносится заключение о негодности к обучению и работе. После компрессионного перелома тел одного или двух позвонков освидетельствование: проводится не ранее чем через 6 месяцев после травмы. При компрессионном переломе тел позвонков при условии полного восстановления функций допускается освидетельствование после успешного оперативного лечения - через 6 месяцев; после чрескожной вертебропластики - через 2 месяца.</w:t>
      </w:r>
    </w:p>
    <w:p>
      <w:pPr>
        <w:pStyle w:val="0"/>
        <w:spacing w:before="200" w:line-rule="auto"/>
        <w:ind w:firstLine="540"/>
        <w:jc w:val="both"/>
      </w:pPr>
      <w:r>
        <w:rPr>
          <w:sz w:val="20"/>
        </w:rPr>
        <w:t xml:space="preserve">180. В случаях перелома поперечных, остистых отростков обладатель медицинского заключения допускается к работе (обучению) при восстановлении функций и исчезновении болевого синдрома.</w:t>
      </w:r>
    </w:p>
    <w:p>
      <w:pPr>
        <w:pStyle w:val="0"/>
        <w:spacing w:before="200" w:line-rule="auto"/>
        <w:ind w:firstLine="540"/>
        <w:jc w:val="both"/>
      </w:pPr>
      <w:r>
        <w:rPr>
          <w:sz w:val="20"/>
        </w:rPr>
        <w:t xml:space="preserve">181. При консолидированных переломах костей таза (S32) медицинское освидетельствование проводится не ранее чем через 6 месяцев после травмы.</w:t>
      </w:r>
    </w:p>
    <w:p>
      <w:pPr>
        <w:pStyle w:val="0"/>
        <w:spacing w:before="200" w:line-rule="auto"/>
        <w:ind w:firstLine="540"/>
        <w:jc w:val="both"/>
      </w:pPr>
      <w:r>
        <w:rPr>
          <w:sz w:val="20"/>
        </w:rPr>
        <w:t xml:space="preserve">182. Кандидаты на получение медицинского заключения с острыми инфекционными, инфекционно-аллергическими артритами, полиартритами подлежат лечению. Кандидаты на получение медицинского заключения с воспалительными, аллергическими, обменными заболеваниями суставов, системными поражениями соединительной ткани (M00 - M03, M05 - М14, M15 - M19)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 годными к обучению и работе. Допуск к УВД осуществляется при достижении стойкой ремиссии.</w:t>
      </w:r>
    </w:p>
    <w:p>
      <w:pPr>
        <w:pStyle w:val="0"/>
        <w:spacing w:before="200" w:line-rule="auto"/>
        <w:ind w:firstLine="540"/>
        <w:jc w:val="both"/>
      </w:pPr>
      <w:r>
        <w:rPr>
          <w:sz w:val="20"/>
        </w:rPr>
        <w:t xml:space="preserve">183. При патологии суставов и системных заболеваниях соединительной ткани в стойкой ремиссии, без выраженных нарушений функций органов заключение выносится в зависимости от функционального состояния суставов и вовлеченных органов.</w:t>
      </w:r>
    </w:p>
    <w:p>
      <w:pPr>
        <w:pStyle w:val="0"/>
        <w:jc w:val="both"/>
      </w:pPr>
      <w:r>
        <w:rPr>
          <w:sz w:val="20"/>
        </w:rPr>
      </w:r>
    </w:p>
    <w:p>
      <w:pPr>
        <w:pStyle w:val="2"/>
        <w:outlineLvl w:val="2"/>
        <w:jc w:val="center"/>
      </w:pPr>
      <w:r>
        <w:rPr>
          <w:sz w:val="20"/>
        </w:rPr>
        <w:t xml:space="preserve">XI. Психиатрия (F00 - F99)</w:t>
      </w:r>
    </w:p>
    <w:p>
      <w:pPr>
        <w:pStyle w:val="0"/>
        <w:jc w:val="both"/>
      </w:pPr>
      <w:r>
        <w:rPr>
          <w:sz w:val="20"/>
        </w:rPr>
      </w:r>
    </w:p>
    <w:p>
      <w:pPr>
        <w:pStyle w:val="0"/>
        <w:ind w:firstLine="540"/>
        <w:jc w:val="both"/>
      </w:pPr>
      <w:r>
        <w:rPr>
          <w:sz w:val="20"/>
        </w:rPr>
        <w:t xml:space="preserve">184. Кандидаты на получение медицинского заключения не должны иметь медицинской истории в анамнезе, описывающей наличие каких-либо психиатрических заболеваний, либо соответствующих клинических диагнозов о недееспособности, которые могут препятствовать выполнению профессиональных обязанностей, предусмотренных соответствующими свидетельствами, и создавать угрозу безопасности полетов.</w:t>
      </w:r>
    </w:p>
    <w:p>
      <w:pPr>
        <w:pStyle w:val="0"/>
        <w:spacing w:before="200" w:line-rule="auto"/>
        <w:ind w:firstLine="540"/>
        <w:jc w:val="both"/>
      </w:pPr>
      <w:r>
        <w:rPr>
          <w:sz w:val="20"/>
        </w:rPr>
        <w:t xml:space="preserve">185. Кандидаты на получение медицинского заключения признаются не годными к обучению и работе без права восстановления со следующими клинически установленными диагнозами (диагноз подтверждается решением врачебной комиссии специализированного учреждения психиатрического профиля после проведенного полного обследования в специализированной психиатрической (наркологической) медицинской организации):</w:t>
      </w:r>
    </w:p>
    <w:p>
      <w:pPr>
        <w:pStyle w:val="0"/>
        <w:spacing w:before="200" w:line-rule="auto"/>
        <w:ind w:firstLine="540"/>
        <w:jc w:val="both"/>
      </w:pPr>
      <w:r>
        <w:rPr>
          <w:sz w:val="20"/>
        </w:rPr>
        <w:t xml:space="preserve">1) органические, включая симптоматические, психические расстройства (F00 - F09);</w:t>
      </w:r>
    </w:p>
    <w:p>
      <w:pPr>
        <w:pStyle w:val="0"/>
        <w:spacing w:before="200" w:line-rule="auto"/>
        <w:ind w:firstLine="540"/>
        <w:jc w:val="both"/>
      </w:pPr>
      <w:r>
        <w:rPr>
          <w:sz w:val="20"/>
        </w:rPr>
        <w:t xml:space="preserve">2) психические расстройства и расстройства поведения, связанные с употреблением психоактивных веществ (F10 - F19);</w:t>
      </w:r>
    </w:p>
    <w:p>
      <w:pPr>
        <w:pStyle w:val="0"/>
        <w:spacing w:before="200" w:line-rule="auto"/>
        <w:ind w:firstLine="540"/>
        <w:jc w:val="both"/>
      </w:pPr>
      <w:r>
        <w:rPr>
          <w:sz w:val="20"/>
        </w:rPr>
        <w:t xml:space="preserve">3) шизофрения, шизотипические и бредовые расстройства (F20 - F29);</w:t>
      </w:r>
    </w:p>
    <w:p>
      <w:pPr>
        <w:pStyle w:val="0"/>
        <w:spacing w:before="200" w:line-rule="auto"/>
        <w:ind w:firstLine="540"/>
        <w:jc w:val="both"/>
      </w:pPr>
      <w:r>
        <w:rPr>
          <w:sz w:val="20"/>
        </w:rPr>
        <w:t xml:space="preserve">4) расстройства настроения (аффективные расстройства) (F30 - 39);</w:t>
      </w:r>
    </w:p>
    <w:p>
      <w:pPr>
        <w:pStyle w:val="0"/>
        <w:spacing w:before="200" w:line-rule="auto"/>
        <w:ind w:firstLine="540"/>
        <w:jc w:val="both"/>
      </w:pPr>
      <w:r>
        <w:rPr>
          <w:sz w:val="20"/>
        </w:rPr>
        <w:t xml:space="preserve">5) невротические, связанные со стрессом и соматоформные расстройства (F40 - F48);</w:t>
      </w:r>
    </w:p>
    <w:p>
      <w:pPr>
        <w:pStyle w:val="0"/>
        <w:spacing w:before="200" w:line-rule="auto"/>
        <w:ind w:firstLine="540"/>
        <w:jc w:val="both"/>
      </w:pPr>
      <w:r>
        <w:rPr>
          <w:sz w:val="20"/>
        </w:rPr>
        <w:t xml:space="preserve">6) расстройства личности и поведения в зрелом возрасте (F60 - F69);</w:t>
      </w:r>
    </w:p>
    <w:p>
      <w:pPr>
        <w:pStyle w:val="0"/>
        <w:spacing w:before="200" w:line-rule="auto"/>
        <w:ind w:firstLine="540"/>
        <w:jc w:val="both"/>
      </w:pPr>
      <w:r>
        <w:rPr>
          <w:sz w:val="20"/>
        </w:rPr>
        <w:t xml:space="preserve">7) умственная отсталость (F70 - F79);</w:t>
      </w:r>
    </w:p>
    <w:p>
      <w:pPr>
        <w:pStyle w:val="0"/>
        <w:spacing w:before="200" w:line-rule="auto"/>
        <w:ind w:firstLine="540"/>
        <w:jc w:val="both"/>
      </w:pPr>
      <w:r>
        <w:rPr>
          <w:sz w:val="20"/>
        </w:rPr>
        <w:t xml:space="preserve">8) расстройства психологического (психического) развития (F80 - F89);</w:t>
      </w:r>
    </w:p>
    <w:p>
      <w:pPr>
        <w:pStyle w:val="0"/>
        <w:spacing w:before="200" w:line-rule="auto"/>
        <w:ind w:firstLine="540"/>
        <w:jc w:val="both"/>
      </w:pPr>
      <w:r>
        <w:rPr>
          <w:sz w:val="20"/>
        </w:rPr>
        <w:t xml:space="preserve">9) эмоциональные расстройства и расстройства поведения, начинающиеся обычно в детском и подростковом возрасте (F90 - F99).</w:t>
      </w:r>
    </w:p>
    <w:p>
      <w:pPr>
        <w:pStyle w:val="0"/>
        <w:spacing w:before="200" w:line-rule="auto"/>
        <w:ind w:firstLine="540"/>
        <w:jc w:val="both"/>
      </w:pPr>
      <w:r>
        <w:rPr>
          <w:sz w:val="20"/>
        </w:rPr>
        <w:t xml:space="preserve">186. Кандидаты на получение медицинского заключения после выздоровления и при полной компенсации нервно-психических функций без применения поддерживающей терапии через 4 - 6 месяцев могут освидетельствоваться ЦВЛЭК ГА (с выпиской по месту наблюдения) после обследования в специализированном психиатрическом (наркологическом) учреждении с заключением клинического психолога и врача-психиатра ЦВЛЭК ГА с клинически установленными диагнозами:</w:t>
      </w:r>
    </w:p>
    <w:p>
      <w:pPr>
        <w:pStyle w:val="0"/>
        <w:spacing w:before="200" w:line-rule="auto"/>
        <w:ind w:firstLine="540"/>
        <w:jc w:val="both"/>
      </w:pPr>
      <w:r>
        <w:rPr>
          <w:sz w:val="20"/>
        </w:rPr>
        <w:t xml:space="preserve">1) "невротические, связанные со стрессом и соматоформные расстройства":</w:t>
      </w:r>
    </w:p>
    <w:p>
      <w:pPr>
        <w:pStyle w:val="0"/>
        <w:spacing w:before="200" w:line-rule="auto"/>
        <w:ind w:firstLine="540"/>
        <w:jc w:val="both"/>
      </w:pPr>
      <w:r>
        <w:rPr>
          <w:sz w:val="20"/>
        </w:rPr>
        <w:t xml:space="preserve">- реакция на тяжелый стресс и нарушения адаптации (F43);</w:t>
      </w:r>
    </w:p>
    <w:p>
      <w:pPr>
        <w:pStyle w:val="0"/>
        <w:spacing w:before="200" w:line-rule="auto"/>
        <w:ind w:firstLine="540"/>
        <w:jc w:val="both"/>
      </w:pPr>
      <w:r>
        <w:rPr>
          <w:sz w:val="20"/>
        </w:rPr>
        <w:t xml:space="preserve">2) "поведенческие синдромы, связанные с физиологическими нарушениями и физическими факторами":</w:t>
      </w:r>
    </w:p>
    <w:p>
      <w:pPr>
        <w:pStyle w:val="0"/>
        <w:spacing w:before="200" w:line-rule="auto"/>
        <w:ind w:firstLine="540"/>
        <w:jc w:val="both"/>
      </w:pPr>
      <w:r>
        <w:rPr>
          <w:sz w:val="20"/>
        </w:rPr>
        <w:t xml:space="preserve">- расстройство режима сна-бодрствования неорганической природы (F51.2);</w:t>
      </w:r>
    </w:p>
    <w:p>
      <w:pPr>
        <w:pStyle w:val="0"/>
        <w:spacing w:before="200" w:line-rule="auto"/>
        <w:ind w:firstLine="540"/>
        <w:jc w:val="both"/>
      </w:pPr>
      <w:r>
        <w:rPr>
          <w:sz w:val="20"/>
        </w:rPr>
        <w:t xml:space="preserve">- кошмары (F51.5);</w:t>
      </w:r>
    </w:p>
    <w:p>
      <w:pPr>
        <w:pStyle w:val="0"/>
        <w:spacing w:before="200" w:line-rule="auto"/>
        <w:ind w:firstLine="540"/>
        <w:jc w:val="both"/>
      </w:pPr>
      <w:r>
        <w:rPr>
          <w:sz w:val="20"/>
        </w:rPr>
        <w:t xml:space="preserve">- сексуальные расстройства, не обусловленные органическими нарушениями или болезнями (F52);</w:t>
      </w:r>
    </w:p>
    <w:p>
      <w:pPr>
        <w:pStyle w:val="0"/>
        <w:spacing w:before="200" w:line-rule="auto"/>
        <w:ind w:firstLine="540"/>
        <w:jc w:val="both"/>
      </w:pPr>
      <w:r>
        <w:rPr>
          <w:sz w:val="20"/>
        </w:rPr>
        <w:t xml:space="preserve">- психические и поведенческие расстройства, связанные с послеродовым периодом и не классифицируемые в других разделах (F53);</w:t>
      </w:r>
    </w:p>
    <w:p>
      <w:pPr>
        <w:pStyle w:val="0"/>
        <w:spacing w:before="200" w:line-rule="auto"/>
        <w:ind w:firstLine="540"/>
        <w:jc w:val="both"/>
      </w:pPr>
      <w:r>
        <w:rPr>
          <w:sz w:val="20"/>
        </w:rPr>
        <w:t xml:space="preserve">- психологические и поведенческие факторы, связанные с расстройствами или болезнями, классифицированными в других разделах (F54);</w:t>
      </w:r>
    </w:p>
    <w:p>
      <w:pPr>
        <w:pStyle w:val="0"/>
        <w:spacing w:before="200" w:line-rule="auto"/>
        <w:ind w:firstLine="540"/>
        <w:jc w:val="both"/>
      </w:pPr>
      <w:r>
        <w:rPr>
          <w:sz w:val="20"/>
        </w:rPr>
        <w:t xml:space="preserve">- поведенческие синдромы, связанные с физиологическими нарушениями и физическими факторами, неуточненные (F59).</w:t>
      </w:r>
    </w:p>
    <w:p>
      <w:pPr>
        <w:pStyle w:val="0"/>
        <w:spacing w:before="200" w:line-rule="auto"/>
        <w:ind w:firstLine="540"/>
        <w:jc w:val="both"/>
      </w:pPr>
      <w:r>
        <w:rPr>
          <w:sz w:val="20"/>
        </w:rPr>
        <w:t xml:space="preserve">187. Кандидаты на получение медицинского заключения при первичном выявлении (в том числе при проведении предполетного/послеполетного, предсменного/послесменного осмотров) состояния опьянения (алкогольного, наркотического или иного токсического), остаточных явлений такого опьянения,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признаются не годными к обучению и работе. Вопрос о восстановлении допуска к работе (обучению) рассматривается через 3 месяца в случае представления сведений из медицинской организации государственной или муниципальной системы здравоохранения по месту жительства (пребывания) кандидата на медицинское заключение, имеющей лицензию на осуществление медицинской деятельности, предусматривающую выполнение работ (услуг) по психиатрии-наркологии и лабораторной диагностике либо клинической лабораторной диагностике, о проводимом в течение всего этого периода наблюдении с проведением химико-токсикологических исследований, подтверждающих факт однократного употребления алкоголя, наркотических средств, психотропных веществ и их метаболитов, новых потенциально опасных психоактивных веществ или одурманивающих веществ.</w:t>
      </w:r>
    </w:p>
    <w:p>
      <w:pPr>
        <w:pStyle w:val="0"/>
        <w:spacing w:before="200" w:line-rule="auto"/>
        <w:ind w:firstLine="540"/>
        <w:jc w:val="both"/>
      </w:pPr>
      <w:r>
        <w:rPr>
          <w:sz w:val="20"/>
        </w:rPr>
        <w:t xml:space="preserve">188. При повторном установлении (в том числе при проведении предсменного/послесменного осмотров) факта употребления алкоголя, наркотических средств, психотропных веществ и их метаболитов, новых потенциально опасных психоактивных веществ или одурманивающих веществ или состояния опьянения (алкогольного, наркотического или иного токсического) выносится заключение о негодности к работе (обучению).</w:t>
      </w:r>
    </w:p>
    <w:p>
      <w:pPr>
        <w:pStyle w:val="0"/>
        <w:spacing w:before="200" w:line-rule="auto"/>
        <w:ind w:firstLine="540"/>
        <w:jc w:val="both"/>
      </w:pPr>
      <w:r>
        <w:rPr>
          <w:sz w:val="20"/>
        </w:rPr>
        <w:t xml:space="preserve">189.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вынесения заключения о негодности к обучению и работе. Появление неадекватных поведенческих реакций, ранее не отмеченных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врача-психиатра ЦВЛЭК ГА. При незначительных отклонениях заключение о годности выносится с учетом профессиональных качеств, опыта работы, качества выполняемой работы.</w:t>
      </w:r>
    </w:p>
    <w:p>
      <w:pPr>
        <w:pStyle w:val="0"/>
        <w:jc w:val="both"/>
      </w:pPr>
      <w:r>
        <w:rPr>
          <w:sz w:val="20"/>
        </w:rPr>
      </w:r>
    </w:p>
    <w:p>
      <w:pPr>
        <w:pStyle w:val="2"/>
        <w:outlineLvl w:val="2"/>
        <w:jc w:val="center"/>
      </w:pPr>
      <w:r>
        <w:rPr>
          <w:sz w:val="20"/>
        </w:rPr>
        <w:t xml:space="preserve">XII. Психология</w:t>
      </w:r>
    </w:p>
    <w:p>
      <w:pPr>
        <w:pStyle w:val="0"/>
        <w:jc w:val="both"/>
      </w:pPr>
      <w:r>
        <w:rPr>
          <w:sz w:val="20"/>
        </w:rPr>
      </w:r>
    </w:p>
    <w:p>
      <w:pPr>
        <w:pStyle w:val="0"/>
        <w:ind w:firstLine="540"/>
        <w:jc w:val="both"/>
      </w:pPr>
      <w:r>
        <w:rPr>
          <w:sz w:val="20"/>
        </w:rPr>
        <w:t xml:space="preserve">190. При психологическом тестировании медицинский психолог оценивает общее психическое состояние обследуемого, темп психической деятельности (признаки истощаемости, быстрого утомления), индивидуально-психологические и личностные особенности, профессиональную мотивацию, а также высшие психические, в том числе когнитивные, функции (концентрация и распределение внимания, вербальные и арифметические способности, объем памяти, ориентация в пространстве, зрительная и моторная координация).</w:t>
      </w:r>
    </w:p>
    <w:p>
      <w:pPr>
        <w:pStyle w:val="0"/>
        <w:jc w:val="both"/>
      </w:pPr>
      <w:r>
        <w:rPr>
          <w:sz w:val="20"/>
        </w:rPr>
        <w:t xml:space="preserve">(п. 190 в ред. </w:t>
      </w:r>
      <w:hyperlink w:history="0" r:id="rId15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191. Заключение медицинского психолога ВЛЭК ГА (ЦВЛЭК ГА) не является экспертным заключением, носит информативно-рекомендательный характер и учитывается неврологом ВЛЭК ГА (ЦВЛЭК ГА) при вынесении медицинского заключения.</w:t>
      </w:r>
    </w:p>
    <w:p>
      <w:pPr>
        <w:pStyle w:val="0"/>
        <w:spacing w:before="200" w:line-rule="auto"/>
        <w:ind w:firstLine="540"/>
        <w:jc w:val="both"/>
      </w:pPr>
      <w:r>
        <w:rPr>
          <w:sz w:val="20"/>
        </w:rPr>
        <w:t xml:space="preserve">192. Стандартное обследование у медицинского психолога ВЛЭК ГА (ЦВЛЭК ГА) состоит из двух частей:</w:t>
      </w:r>
    </w:p>
    <w:p>
      <w:pPr>
        <w:pStyle w:val="0"/>
        <w:spacing w:before="200" w:line-rule="auto"/>
        <w:ind w:firstLine="540"/>
        <w:jc w:val="both"/>
      </w:pPr>
      <w:r>
        <w:rPr>
          <w:sz w:val="20"/>
        </w:rPr>
        <w:t xml:space="preserve">диагностика индивидуально-психологических и личностных особенностей кандидата на получение медицинского заключения;</w:t>
      </w:r>
    </w:p>
    <w:p>
      <w:pPr>
        <w:pStyle w:val="0"/>
        <w:spacing w:before="200" w:line-rule="auto"/>
        <w:ind w:firstLine="540"/>
        <w:jc w:val="both"/>
      </w:pPr>
      <w:r>
        <w:rPr>
          <w:sz w:val="20"/>
        </w:rPr>
        <w:t xml:space="preserve">оценка профессионально важных качеств кандидата на получение медицинского заключения (когнитивные и высшие психические функции).</w:t>
      </w:r>
    </w:p>
    <w:p>
      <w:pPr>
        <w:pStyle w:val="0"/>
        <w:spacing w:before="200" w:line-rule="auto"/>
        <w:ind w:firstLine="540"/>
        <w:jc w:val="both"/>
      </w:pPr>
      <w:r>
        <w:rPr>
          <w:sz w:val="20"/>
        </w:rPr>
        <w:t xml:space="preserve">193. В случае возникновения необходимости уточнения полученных в ходе стандартного обследования результатов медицинский психолог ВЛЭК ГА (ЦВЛЭК ГА) проводит расширенное психологическое обследование, в том числе в индивидуальном варианте, а также с применением дополнительных бланковых или компьютеризированных методик.</w:t>
      </w:r>
    </w:p>
    <w:p>
      <w:pPr>
        <w:pStyle w:val="0"/>
        <w:spacing w:before="200" w:line-rule="auto"/>
        <w:ind w:firstLine="540"/>
        <w:jc w:val="both"/>
      </w:pPr>
      <w:r>
        <w:rPr>
          <w:sz w:val="20"/>
        </w:rPr>
        <w:t xml:space="preserve">194. Наиболее часто основаниями для расширения психологического обследования являются:</w:t>
      </w:r>
    </w:p>
    <w:p>
      <w:pPr>
        <w:pStyle w:val="0"/>
        <w:spacing w:before="200" w:line-rule="auto"/>
        <w:ind w:firstLine="540"/>
        <w:jc w:val="both"/>
      </w:pPr>
      <w:r>
        <w:rPr>
          <w:sz w:val="20"/>
        </w:rPr>
        <w:t xml:space="preserve">1) со стороны индивидуально-психологических и личностных особенностей заявителя:</w:t>
      </w:r>
    </w:p>
    <w:p>
      <w:pPr>
        <w:pStyle w:val="0"/>
        <w:spacing w:before="200" w:line-rule="auto"/>
        <w:ind w:firstLine="540"/>
        <w:jc w:val="both"/>
      </w:pPr>
      <w:r>
        <w:rPr>
          <w:sz w:val="20"/>
        </w:rPr>
        <w:t xml:space="preserve">- недостоверные результаты по личностным тестам;</w:t>
      </w:r>
    </w:p>
    <w:p>
      <w:pPr>
        <w:pStyle w:val="0"/>
        <w:spacing w:before="200" w:line-rule="auto"/>
        <w:ind w:firstLine="540"/>
        <w:jc w:val="both"/>
      </w:pPr>
      <w:r>
        <w:rPr>
          <w:sz w:val="20"/>
        </w:rPr>
        <w:t xml:space="preserve">- признаки наличия нервно-психической неустойчивости обследуемого (НПН);</w:t>
      </w:r>
    </w:p>
    <w:p>
      <w:pPr>
        <w:pStyle w:val="0"/>
        <w:spacing w:before="200" w:line-rule="auto"/>
        <w:ind w:firstLine="540"/>
        <w:jc w:val="both"/>
      </w:pPr>
      <w:r>
        <w:rPr>
          <w:sz w:val="20"/>
        </w:rPr>
        <w:t xml:space="preserve">- наличие отрицательной производственной характеристики или характеристики из образовательного учреждения ГА;</w:t>
      </w:r>
    </w:p>
    <w:p>
      <w:pPr>
        <w:pStyle w:val="0"/>
        <w:spacing w:before="200" w:line-rule="auto"/>
        <w:ind w:firstLine="540"/>
        <w:jc w:val="both"/>
      </w:pPr>
      <w:r>
        <w:rPr>
          <w:sz w:val="20"/>
        </w:rPr>
        <w:t xml:space="preserve">- наличие признаков расстройства личности;</w:t>
      </w:r>
    </w:p>
    <w:p>
      <w:pPr>
        <w:pStyle w:val="0"/>
        <w:spacing w:before="200" w:line-rule="auto"/>
        <w:ind w:firstLine="540"/>
        <w:jc w:val="both"/>
      </w:pPr>
      <w:r>
        <w:rPr>
          <w:sz w:val="20"/>
        </w:rPr>
        <w:t xml:space="preserve">- наличие профессионально неблагоприятных личностных характеристик;</w:t>
      </w:r>
    </w:p>
    <w:p>
      <w:pPr>
        <w:pStyle w:val="0"/>
        <w:spacing w:before="200" w:line-rule="auto"/>
        <w:ind w:firstLine="540"/>
        <w:jc w:val="both"/>
      </w:pPr>
      <w:r>
        <w:rPr>
          <w:sz w:val="20"/>
        </w:rPr>
        <w:t xml:space="preserve">- наличие признаков акцентуации характера;</w:t>
      </w:r>
    </w:p>
    <w:p>
      <w:pPr>
        <w:pStyle w:val="0"/>
        <w:spacing w:before="200" w:line-rule="auto"/>
        <w:ind w:firstLine="540"/>
        <w:jc w:val="both"/>
      </w:pPr>
      <w:r>
        <w:rPr>
          <w:sz w:val="20"/>
        </w:rPr>
        <w:t xml:space="preserve">- присутствие языкового барьера;</w:t>
      </w:r>
    </w:p>
    <w:p>
      <w:pPr>
        <w:pStyle w:val="0"/>
        <w:spacing w:before="200" w:line-rule="auto"/>
        <w:ind w:firstLine="540"/>
        <w:jc w:val="both"/>
      </w:pPr>
      <w:r>
        <w:rPr>
          <w:sz w:val="20"/>
        </w:rPr>
        <w:t xml:space="preserve">- наличие татуировок и шрамов.</w:t>
      </w:r>
    </w:p>
    <w:p>
      <w:pPr>
        <w:pStyle w:val="0"/>
        <w:spacing w:before="200" w:line-rule="auto"/>
        <w:ind w:firstLine="540"/>
        <w:jc w:val="both"/>
      </w:pPr>
      <w:r>
        <w:rPr>
          <w:sz w:val="20"/>
        </w:rPr>
        <w:t xml:space="preserve">2) со стороны оценки профессионально важных качеств заявителя (когнитивные и высшие психические функции):</w:t>
      </w:r>
    </w:p>
    <w:p>
      <w:pPr>
        <w:pStyle w:val="0"/>
        <w:spacing w:before="200" w:line-rule="auto"/>
        <w:ind w:firstLine="540"/>
        <w:jc w:val="both"/>
      </w:pPr>
      <w:r>
        <w:rPr>
          <w:sz w:val="20"/>
        </w:rPr>
        <w:t xml:space="preserve">- высокая вероятность эффекта тренированности;</w:t>
      </w:r>
    </w:p>
    <w:p>
      <w:pPr>
        <w:pStyle w:val="0"/>
        <w:spacing w:before="200" w:line-rule="auto"/>
        <w:ind w:firstLine="540"/>
        <w:jc w:val="both"/>
      </w:pPr>
      <w:r>
        <w:rPr>
          <w:sz w:val="20"/>
        </w:rPr>
        <w:t xml:space="preserve">- общий балл результатов обследования "ниже среднего" и "низкий";</w:t>
      </w:r>
    </w:p>
    <w:p>
      <w:pPr>
        <w:pStyle w:val="0"/>
        <w:spacing w:before="200" w:line-rule="auto"/>
        <w:ind w:firstLine="540"/>
        <w:jc w:val="both"/>
      </w:pPr>
      <w:r>
        <w:rPr>
          <w:sz w:val="20"/>
        </w:rPr>
        <w:t xml:space="preserve">- снижение результатов обследования отдельных психических функций.</w:t>
      </w:r>
    </w:p>
    <w:p>
      <w:pPr>
        <w:pStyle w:val="0"/>
        <w:spacing w:before="200" w:line-rule="auto"/>
        <w:ind w:firstLine="540"/>
        <w:jc w:val="both"/>
      </w:pPr>
      <w:r>
        <w:rPr>
          <w:sz w:val="20"/>
        </w:rPr>
        <w:t xml:space="preserve">195. При выявлении у кандидата на получение медицинского заключения профессионально неблагоприятных личностных особенностей, не достигающих уровня расстройства личности или выраженной акцентуации личности (характера), медицинский психолог ВЛЭК ГА направляет его в ЦВЛЭК ГА с целью уточнения заключения медицинского психолога.</w:t>
      </w:r>
    </w:p>
    <w:p>
      <w:pPr>
        <w:pStyle w:val="0"/>
        <w:spacing w:before="200" w:line-rule="auto"/>
        <w:ind w:firstLine="540"/>
        <w:jc w:val="both"/>
      </w:pPr>
      <w:r>
        <w:rPr>
          <w:sz w:val="20"/>
        </w:rPr>
        <w:t xml:space="preserve">196. В случае выявления у кандидата признаков нервно-психической неустойчивости, профессионально-неблагоприятных психических состояний, признаков акцентуаций характера медицинский психолог ВЛЭК ГА (ЦВЛЭК ГА) направляет кандидата на консультацию к врачу-психиатру ЦВЛЭК ГА.</w:t>
      </w:r>
    </w:p>
    <w:p>
      <w:pPr>
        <w:pStyle w:val="0"/>
        <w:jc w:val="both"/>
      </w:pPr>
      <w:r>
        <w:rPr>
          <w:sz w:val="20"/>
        </w:rPr>
        <w:t xml:space="preserve">(в ред. </w:t>
      </w:r>
      <w:hyperlink w:history="0" r:id="rId15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197. В случае когда врач-психиатр не выносит диагноз клинического характера, медицинский психолог выносит выявленные особенности в "общий вывод" и рекомендует контроль в динамике.</w:t>
      </w:r>
    </w:p>
    <w:p>
      <w:pPr>
        <w:pStyle w:val="0"/>
        <w:jc w:val="both"/>
      </w:pPr>
      <w:r>
        <w:rPr>
          <w:sz w:val="20"/>
        </w:rPr>
        <w:t xml:space="preserve">(в ред. </w:t>
      </w:r>
      <w:hyperlink w:history="0" r:id="rId15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198. При подтверждении у кандидата на получение медицинского заключения профессионально неблагоприятных личностных особенностей, не достигающих уровня расстройства личности или выраженной акцентуации личности (характера), однако ставящих под угрозу выполнение или препятствующих выполнению профессиональных обязанностей:</w:t>
      </w:r>
    </w:p>
    <w:p>
      <w:pPr>
        <w:pStyle w:val="0"/>
        <w:spacing w:before="200" w:line-rule="auto"/>
        <w:ind w:firstLine="540"/>
        <w:jc w:val="both"/>
      </w:pPr>
      <w:r>
        <w:rPr>
          <w:sz w:val="20"/>
        </w:rPr>
        <w:t xml:space="preserve">возможно вынесение отрицательного заключения с рекомендацией обследования в специализированном стационаре психиатрического профиля с круглосуточным пребыванием;</w:t>
      </w:r>
    </w:p>
    <w:p>
      <w:pPr>
        <w:pStyle w:val="0"/>
        <w:spacing w:before="200" w:line-rule="auto"/>
        <w:ind w:firstLine="540"/>
        <w:jc w:val="both"/>
      </w:pPr>
      <w:r>
        <w:rPr>
          <w:sz w:val="20"/>
        </w:rPr>
        <w:t xml:space="preserve">организовывается работа с психотерапевтом по профилю с выдачей выписки.</w:t>
      </w:r>
    </w:p>
    <w:p>
      <w:pPr>
        <w:pStyle w:val="0"/>
        <w:spacing w:before="200" w:line-rule="auto"/>
        <w:ind w:firstLine="540"/>
        <w:jc w:val="both"/>
      </w:pPr>
      <w:r>
        <w:rPr>
          <w:sz w:val="20"/>
        </w:rPr>
        <w:t xml:space="preserve">199. При восстановлении на работу (обучение) кандидат на получение медицинского заключения 3 класса обязан представить выписку из амбулаторной карты о пройденном лечении.</w:t>
      </w:r>
    </w:p>
    <w:p>
      <w:pPr>
        <w:pStyle w:val="0"/>
        <w:spacing w:before="200" w:line-rule="auto"/>
        <w:ind w:firstLine="540"/>
        <w:jc w:val="both"/>
      </w:pPr>
      <w:r>
        <w:rPr>
          <w:sz w:val="20"/>
        </w:rPr>
        <w:t xml:space="preserve">200. При общем балле результатов психологического обследования "ниже среднего" и "низкий", а также снижении результатов обследования отдельных психических функций низкий уровень сохранности когнитивных и высших психических функций не может быть поводом для отстранения кандидата на получение медицинского заключения от работы, однако он является фактором, существенно отягощающим прогноз безопасности полетов при управлении воздушным движением.</w:t>
      </w:r>
    </w:p>
    <w:p>
      <w:pPr>
        <w:pStyle w:val="0"/>
        <w:spacing w:before="200" w:line-rule="auto"/>
        <w:ind w:firstLine="540"/>
        <w:jc w:val="both"/>
      </w:pPr>
      <w:r>
        <w:rPr>
          <w:sz w:val="20"/>
        </w:rPr>
        <w:t xml:space="preserve">201. При выявлении языкового барьера у кандидата на получение медицинского заключения 3 класса в ходе проведения обследования у медицинского психолога ВЛЭК ГА (ЦВЛЭК ГА) дальнейшее психологическое обследование ведется в двух направлениях:</w:t>
      </w:r>
    </w:p>
    <w:p>
      <w:pPr>
        <w:pStyle w:val="0"/>
        <w:spacing w:before="200" w:line-rule="auto"/>
        <w:ind w:firstLine="540"/>
        <w:jc w:val="both"/>
      </w:pPr>
      <w:r>
        <w:rPr>
          <w:sz w:val="20"/>
        </w:rPr>
        <w:t xml:space="preserve">оценка степени выраженности языкового барьера (словарный запас, соблюдение родовых и падежных окончаний, понимание устной и печатной русской речи и прочее);</w:t>
      </w:r>
    </w:p>
    <w:p>
      <w:pPr>
        <w:pStyle w:val="0"/>
        <w:spacing w:before="200" w:line-rule="auto"/>
        <w:ind w:firstLine="540"/>
        <w:jc w:val="both"/>
      </w:pPr>
      <w:r>
        <w:rPr>
          <w:sz w:val="20"/>
        </w:rPr>
        <w:t xml:space="preserve">оценка личностных и профессионально важных качеств заявителя с учетом того, что к его обследованию не могут быть корректно применены психодиагностические методики вербального характера, стандартизированные на русскоговорящей выборке.</w:t>
      </w:r>
    </w:p>
    <w:p>
      <w:pPr>
        <w:pStyle w:val="0"/>
        <w:spacing w:before="200" w:line-rule="auto"/>
        <w:ind w:firstLine="540"/>
        <w:jc w:val="both"/>
      </w:pPr>
      <w:r>
        <w:rPr>
          <w:sz w:val="20"/>
        </w:rPr>
        <w:t xml:space="preserve">В подобном случае медицинский психолог ВЛЭК ГА (ЦВЛЭК ГА) применяет методики проективного характера.</w:t>
      </w:r>
    </w:p>
    <w:p>
      <w:pPr>
        <w:pStyle w:val="0"/>
        <w:spacing w:before="200" w:line-rule="auto"/>
        <w:ind w:firstLine="540"/>
        <w:jc w:val="both"/>
      </w:pPr>
      <w:r>
        <w:rPr>
          <w:sz w:val="20"/>
        </w:rPr>
        <w:t xml:space="preserve">202. Наличие бодимодификаций (татуировок, а также следов их удаления, тоннелей, сплинта, пирсинга, окрашивания волосяного покрова головы в яркие и (или) неестественные цвета), а также шрамы на теле кандидата на получение медицинского заключения 3 класса являются основанием для расширенного обследования у медицинского психолога, направления на консультацию к врачу-психиатру.</w:t>
      </w:r>
    </w:p>
    <w:p>
      <w:pPr>
        <w:pStyle w:val="0"/>
        <w:jc w:val="both"/>
      </w:pPr>
      <w:r>
        <w:rPr>
          <w:sz w:val="20"/>
        </w:rPr>
        <w:t xml:space="preserve">(в ред. </w:t>
      </w:r>
      <w:hyperlink w:history="0" r:id="rId15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Татуировки допустимы:</w:t>
      </w:r>
    </w:p>
    <w:p>
      <w:pPr>
        <w:pStyle w:val="0"/>
        <w:spacing w:before="200" w:line-rule="auto"/>
        <w:ind w:firstLine="540"/>
        <w:jc w:val="both"/>
      </w:pPr>
      <w:r>
        <w:rPr>
          <w:sz w:val="20"/>
        </w:rPr>
        <w:t xml:space="preserve">на закрытых участках тела;</w:t>
      </w:r>
    </w:p>
    <w:p>
      <w:pPr>
        <w:pStyle w:val="0"/>
        <w:spacing w:before="200" w:line-rule="auto"/>
        <w:ind w:firstLine="540"/>
        <w:jc w:val="both"/>
      </w:pPr>
      <w:r>
        <w:rPr>
          <w:sz w:val="20"/>
        </w:rPr>
        <w:t xml:space="preserve">размер (площадь нанесения) - не более 10 x 10 см;</w:t>
      </w:r>
    </w:p>
    <w:p>
      <w:pPr>
        <w:pStyle w:val="0"/>
        <w:spacing w:before="200" w:line-rule="auto"/>
        <w:ind w:firstLine="540"/>
        <w:jc w:val="both"/>
      </w:pPr>
      <w:r>
        <w:rPr>
          <w:sz w:val="20"/>
        </w:rPr>
        <w:t xml:space="preserve">с символикой, не содержащей агрессивной, антинационалистической, террористической тематики.</w:t>
      </w:r>
    </w:p>
    <w:p>
      <w:pPr>
        <w:pStyle w:val="0"/>
        <w:spacing w:before="200" w:line-rule="auto"/>
        <w:ind w:firstLine="540"/>
        <w:jc w:val="both"/>
      </w:pPr>
      <w:r>
        <w:rPr>
          <w:sz w:val="20"/>
        </w:rPr>
        <w:t xml:space="preserve">Медицинский психолог выясняет: личностно-значимый смысл изображения; возраст, в котором изображение было нанесено; мотивы.</w:t>
      </w:r>
    </w:p>
    <w:p>
      <w:pPr>
        <w:pStyle w:val="0"/>
        <w:spacing w:before="200" w:line-rule="auto"/>
        <w:ind w:firstLine="540"/>
        <w:jc w:val="both"/>
      </w:pPr>
      <w:r>
        <w:rPr>
          <w:sz w:val="20"/>
        </w:rPr>
        <w:t xml:space="preserve">Абзац утратил силу. - </w:t>
      </w:r>
      <w:hyperlink w:history="0" r:id="rId15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w:t>
        </w:r>
      </w:hyperlink>
      <w:r>
        <w:rPr>
          <w:sz w:val="20"/>
        </w:rPr>
        <w:t xml:space="preserve"> Минтранса России от 16.04.2024 N 128.</w:t>
      </w:r>
    </w:p>
    <w:p>
      <w:pPr>
        <w:pStyle w:val="0"/>
        <w:spacing w:before="200" w:line-rule="auto"/>
        <w:ind w:firstLine="540"/>
        <w:jc w:val="both"/>
      </w:pPr>
      <w:r>
        <w:rPr>
          <w:sz w:val="20"/>
        </w:rPr>
        <w:t xml:space="preserve">203. Психологическое обследование является частью проводимого обязательного медицинского освидетельствования.</w:t>
      </w:r>
    </w:p>
    <w:p>
      <w:pPr>
        <w:pStyle w:val="0"/>
        <w:jc w:val="both"/>
      </w:pPr>
      <w:r>
        <w:rPr>
          <w:sz w:val="20"/>
        </w:rPr>
        <w:t xml:space="preserve">(п. 203 в ред. </w:t>
      </w:r>
      <w:hyperlink w:history="0" r:id="rId15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2"/>
        <w:jc w:val="center"/>
      </w:pPr>
      <w:r>
        <w:rPr>
          <w:sz w:val="20"/>
        </w:rPr>
        <w:t xml:space="preserve">XIII. Неврология (G00 - G99)</w:t>
      </w:r>
    </w:p>
    <w:p>
      <w:pPr>
        <w:pStyle w:val="0"/>
        <w:jc w:val="both"/>
      </w:pPr>
      <w:r>
        <w:rPr>
          <w:sz w:val="20"/>
        </w:rPr>
      </w:r>
    </w:p>
    <w:p>
      <w:pPr>
        <w:pStyle w:val="0"/>
        <w:ind w:firstLine="540"/>
        <w:jc w:val="both"/>
      </w:pPr>
      <w:r>
        <w:rPr>
          <w:sz w:val="20"/>
        </w:rPr>
        <w:t xml:space="preserve">204. В случае кандидаты на получение медицинского заключения не имеют неврологического заболевания, которое может помешать безопасному выполнению обязанностей, предусмотренных соответствующих свидетельством, они признаются годными к обучению и работе.</w:t>
      </w:r>
    </w:p>
    <w:p>
      <w:pPr>
        <w:pStyle w:val="0"/>
        <w:jc w:val="both"/>
      </w:pPr>
      <w:r>
        <w:rPr>
          <w:sz w:val="20"/>
        </w:rPr>
      </w:r>
    </w:p>
    <w:p>
      <w:pPr>
        <w:pStyle w:val="2"/>
        <w:outlineLvl w:val="3"/>
        <w:jc w:val="center"/>
      </w:pPr>
      <w:r>
        <w:rPr>
          <w:sz w:val="20"/>
        </w:rPr>
        <w:t xml:space="preserve">Эпилептические приступы и изменения ЭЭГ (G40 - G42)</w:t>
      </w:r>
    </w:p>
    <w:p>
      <w:pPr>
        <w:pStyle w:val="0"/>
        <w:jc w:val="both"/>
      </w:pPr>
      <w:r>
        <w:rPr>
          <w:sz w:val="20"/>
        </w:rPr>
      </w:r>
    </w:p>
    <w:p>
      <w:pPr>
        <w:pStyle w:val="0"/>
        <w:ind w:firstLine="540"/>
        <w:jc w:val="both"/>
      </w:pPr>
      <w:r>
        <w:rPr>
          <w:sz w:val="20"/>
        </w:rPr>
        <w:t xml:space="preserve">205. Кандидаты на получение свидетельства с клиническим диагнозом в анамнезе о наличии эпилепсии, рецидивирующих приступов потерь сознания неуточненного генеза рассматриваются как не годные к работе и обучению.</w:t>
      </w:r>
    </w:p>
    <w:p>
      <w:pPr>
        <w:pStyle w:val="0"/>
        <w:spacing w:before="200" w:line-rule="auto"/>
        <w:ind w:firstLine="540"/>
        <w:jc w:val="both"/>
      </w:pPr>
      <w:r>
        <w:rPr>
          <w:sz w:val="20"/>
        </w:rPr>
        <w:t xml:space="preserve">206. Кандидаты на получение медицинского заключения с клиническим диагнозом или записью в истории о наличии эпилепсии без рецидивирующих приступов с 5-летнего возраста, эпилепсии без рецидивирующих приступов и сроком после прекращения лечения более 10 лет, отсутствии изменений электроэнцефалографии ЭЭГ, не исключающих факторов риска развития эпилептических приступов и без регистрации фокальных медленных волн, без уточненной причины, прогрессирующей или непрогрессирующей болезни нервной системы, единичного эпизода потери сознания неуточненной этиологии, потери сознания после (головной) черепно-мозговой травмы, проникающей травмы головы с поражением головного мозга, повреждения периферического нерва или спинного мозга проходят обследование в неврологическом отделении медицинской организации, находящейся в ведении уполномоченного органа, перед проведением оценки на пригодность к обучению и работе. Отсутствие риска рецидива эпилептического приступа без применения лекарственных средств не исключает вынесения заключения о годности к обучению и работе.</w:t>
      </w:r>
    </w:p>
    <w:p>
      <w:pPr>
        <w:pStyle w:val="0"/>
        <w:jc w:val="both"/>
      </w:pPr>
      <w:r>
        <w:rPr>
          <w:sz w:val="20"/>
        </w:rPr>
        <w:t xml:space="preserve">(в ред. </w:t>
      </w:r>
      <w:hyperlink w:history="0" r:id="rId15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207. При выявлении пароксизмальной, эпилептоидной активности и значительно выраженных изменений на ЭЭГ кандидаты на получение медицинского заключения признаются не годными к обучению и работе. Кандидаты на получение медицинского заключения с впервые выявленной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(ЦНС) признаются не годными к обучению и работе сроком на 3 месяца с последующим расширенным обследованием в неврологическом отделении медицинской организации, находящейся в ведении уполномоченного органа. Стабильность указанных изменений на ЭЭГ после уточнения причины вызываемых изменений с низким риском развития рецидивов потерь сознания, не дают оснований для отстранения от работы.</w:t>
      </w:r>
    </w:p>
    <w:p>
      <w:pPr>
        <w:pStyle w:val="0"/>
        <w:jc w:val="both"/>
      </w:pPr>
      <w:r>
        <w:rPr>
          <w:sz w:val="20"/>
        </w:rPr>
        <w:t xml:space="preserve">(в ред. </w:t>
      </w:r>
      <w:hyperlink w:history="0" r:id="rId15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208. Подтвержденный диагноз эпилепсии определяет негодность к обучению и работе.</w:t>
      </w:r>
    </w:p>
    <w:p>
      <w:pPr>
        <w:pStyle w:val="0"/>
        <w:spacing w:before="200" w:line-rule="auto"/>
        <w:ind w:firstLine="540"/>
        <w:jc w:val="both"/>
      </w:pPr>
      <w:r>
        <w:rPr>
          <w:sz w:val="20"/>
        </w:rPr>
        <w:t xml:space="preserve">209. При однократных эпилептических припадках неуточненной этиологии, при симптоматической эпилепсии экспертная оценка зависит от основного заболевания. Срок наблюдения после перенесенного эпилептического приступа неустановленной этиологии до возврата к повторному рассмотрению вопроса о допуске к обучению и работе - не менее 2 лет.</w:t>
      </w:r>
    </w:p>
    <w:p>
      <w:pPr>
        <w:pStyle w:val="0"/>
        <w:jc w:val="both"/>
      </w:pPr>
      <w:r>
        <w:rPr>
          <w:sz w:val="20"/>
        </w:rPr>
      </w:r>
    </w:p>
    <w:p>
      <w:pPr>
        <w:pStyle w:val="2"/>
        <w:outlineLvl w:val="3"/>
        <w:jc w:val="center"/>
      </w:pPr>
      <w:r>
        <w:rPr>
          <w:sz w:val="20"/>
        </w:rPr>
        <w:t xml:space="preserve">Сосудистые поражения головного мозга</w:t>
      </w:r>
    </w:p>
    <w:p>
      <w:pPr>
        <w:pStyle w:val="0"/>
        <w:jc w:val="both"/>
      </w:pPr>
      <w:r>
        <w:rPr>
          <w:sz w:val="20"/>
        </w:rPr>
      </w:r>
    </w:p>
    <w:p>
      <w:pPr>
        <w:pStyle w:val="0"/>
        <w:ind w:firstLine="540"/>
        <w:jc w:val="both"/>
      </w:pPr>
      <w:r>
        <w:rPr>
          <w:sz w:val="20"/>
        </w:rPr>
        <w:t xml:space="preserve">210.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в единичных случаях не исключают возможность выполнения профессиональных обязанностей при отсутствии факторов риска рецидивирования.</w:t>
      </w:r>
    </w:p>
    <w:p>
      <w:pPr>
        <w:pStyle w:val="0"/>
        <w:spacing w:before="200" w:line-rule="auto"/>
        <w:ind w:firstLine="540"/>
        <w:jc w:val="both"/>
      </w:pPr>
      <w:r>
        <w:rPr>
          <w:sz w:val="20"/>
        </w:rPr>
        <w:t xml:space="preserve">211. Сосудистые поражения головного и спинного мозга (I60 - I65; I67; I68; I69; G45; G95)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риска возникновения острых состояний, влияющих на безопасность полетов.</w:t>
      </w:r>
    </w:p>
    <w:p>
      <w:pPr>
        <w:pStyle w:val="0"/>
        <w:spacing w:before="200" w:line-rule="auto"/>
        <w:ind w:firstLine="540"/>
        <w:jc w:val="both"/>
      </w:pPr>
      <w:r>
        <w:rPr>
          <w:sz w:val="20"/>
        </w:rPr>
        <w:t xml:space="preserve">212. Заключение выносится на основании оценки выраженности неврологических нарушений, степени стенозирования основных артериальных церебральных сосудов, состояния профессионально важных психологических функций, течения заболевания, факторов риска.</w:t>
      </w:r>
    </w:p>
    <w:p>
      <w:pPr>
        <w:pStyle w:val="0"/>
        <w:jc w:val="both"/>
      </w:pPr>
      <w:r>
        <w:rPr>
          <w:sz w:val="20"/>
        </w:rPr>
      </w:r>
    </w:p>
    <w:p>
      <w:pPr>
        <w:pStyle w:val="2"/>
        <w:outlineLvl w:val="3"/>
        <w:jc w:val="center"/>
      </w:pPr>
      <w:r>
        <w:rPr>
          <w:sz w:val="20"/>
        </w:rPr>
        <w:t xml:space="preserve">Экспертиза при сосудистых заболеваниях</w:t>
      </w:r>
    </w:p>
    <w:p>
      <w:pPr>
        <w:pStyle w:val="0"/>
        <w:jc w:val="both"/>
      </w:pPr>
      <w:r>
        <w:rPr>
          <w:sz w:val="20"/>
        </w:rPr>
      </w:r>
    </w:p>
    <w:p>
      <w:pPr>
        <w:pStyle w:val="0"/>
        <w:ind w:firstLine="540"/>
        <w:jc w:val="both"/>
      </w:pPr>
      <w:r>
        <w:rPr>
          <w:sz w:val="20"/>
        </w:rPr>
        <w:t xml:space="preserve">213. Легкая рассеянная микросимптоматика в неврологическом статусе и возраст не являются основаниями для вынесения диагноза церебрального атеросклероза, предусматривающего негодность к обучению и работе, кроме выявления у абитуриентов, которые признаются не годными к обучению (167.2).</w:t>
      </w:r>
    </w:p>
    <w:p>
      <w:pPr>
        <w:pStyle w:val="0"/>
        <w:spacing w:before="200" w:line-rule="auto"/>
        <w:ind w:firstLine="540"/>
        <w:jc w:val="both"/>
      </w:pPr>
      <w:r>
        <w:rPr>
          <w:sz w:val="20"/>
        </w:rPr>
        <w:t xml:space="preserve">214. При выявлении стабильных стенозов брахиоцефальных сосудов (БЦС) небольших и умеренных размеров (до 50%) и отсутствии изменений в неврологическом статусе, когнитивной сфере и по данным нейровизуализации, исключающих органические поражения головного мозга (последствия инсульта, проявления дисциркуляторной энцефалопатии и другие) (I67.2) кандидаты на получение медицинского заключения признаются годными к профессиональной деятельности (кроме абитуриентов, которые признаются не годными к обучению и работе).</w:t>
      </w:r>
    </w:p>
    <w:p>
      <w:pPr>
        <w:pStyle w:val="0"/>
        <w:spacing w:before="200" w:line-rule="auto"/>
        <w:ind w:firstLine="540"/>
        <w:jc w:val="both"/>
      </w:pPr>
      <w:r>
        <w:rPr>
          <w:sz w:val="20"/>
        </w:rPr>
        <w:t xml:space="preserve">215. При обнаружении скрыто протекающего стеноза (50% и более), выявлении эмбологенной нестабильной а/с бляшки принимается решение о негодности к обучению и работе (I65 - I67.0 - I67.1). Пациент направляется на дообследование к неврологу ЦВЛЭК ГА. Решение о тактике ведения лечения пациента принимается после консультации с сосудистым хирургом.</w:t>
      </w:r>
    </w:p>
    <w:p>
      <w:pPr>
        <w:pStyle w:val="0"/>
        <w:spacing w:before="200" w:line-rule="auto"/>
        <w:ind w:firstLine="540"/>
        <w:jc w:val="both"/>
      </w:pPr>
      <w:r>
        <w:rPr>
          <w:sz w:val="20"/>
        </w:rPr>
        <w:t xml:space="preserve">216. Решение о консервативном ведении лечения пациента сроком до 3 месяцев выносится по предложению невролога после дообследования по согласованию со специалистами ЦВЛЭК ГА.</w:t>
      </w:r>
    </w:p>
    <w:p>
      <w:pPr>
        <w:pStyle w:val="0"/>
        <w:spacing w:before="200" w:line-rule="auto"/>
        <w:ind w:firstLine="540"/>
        <w:jc w:val="both"/>
      </w:pPr>
      <w:r>
        <w:rPr>
          <w:sz w:val="20"/>
        </w:rPr>
        <w:t xml:space="preserve">217. При наличии необходимости оперативной коррекции выявленных атеросклеротических стенозов выносится решение о негодности. Рассмотрение вопроса о допуске к работе возможно после 6 месяцев наблюдения после обследования и оценки эффективности лечения в неврологическом отделении медицинской организации, находящейся в ведении уполномоченного органа (I67.2).</w:t>
      </w:r>
    </w:p>
    <w:p>
      <w:pPr>
        <w:pStyle w:val="0"/>
        <w:jc w:val="both"/>
      </w:pPr>
      <w:r>
        <w:rPr>
          <w:sz w:val="20"/>
        </w:rPr>
        <w:t xml:space="preserve">(в ред. </w:t>
      </w:r>
      <w:hyperlink w:history="0" r:id="rId15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218. В случае диагностики лакунарного ишемического инсульта (ИИ) для рассмотрения возможности принятия положительного медицинского решения требуется период наблюдения без регистрации рецидивирующего течения, продолжительность которого зависит от механизма развития заболевания и сопутствующих факторов риска (12 месяцев). Принятие положительного решения о допуске к обучению и работе возможно после обследования в стационаре медицинской организации, находящейся в ведении уполномоченного органа, осмотра неврологом ЦВЛЭК ГА (I69).</w:t>
      </w:r>
    </w:p>
    <w:p>
      <w:pPr>
        <w:pStyle w:val="0"/>
        <w:jc w:val="both"/>
      </w:pPr>
      <w:r>
        <w:rPr>
          <w:sz w:val="20"/>
        </w:rPr>
        <w:t xml:space="preserve">(в ред. </w:t>
      </w:r>
      <w:hyperlink w:history="0" r:id="rId16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219. После инсульта у молодых людей (открытое овальное окно после хирургического лечения) при отсутствии осложнений со стороны когнитивной сферы и поражений головного мозга возможен допуск к работе.</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220. В случае геморрагического инсульта (ГИ) (I60.0 - I62.9) назначается период наблюдения до 2 лет с последующей оценкой сохранности функций центральной и периферичессккой нервной системы.</w:t>
      </w:r>
    </w:p>
    <w:p>
      <w:pPr>
        <w:pStyle w:val="0"/>
        <w:spacing w:before="200" w:line-rule="auto"/>
        <w:ind w:firstLine="540"/>
        <w:jc w:val="both"/>
      </w:pPr>
      <w:r>
        <w:rPr>
          <w:sz w:val="20"/>
        </w:rPr>
        <w:t xml:space="preserve">221. Субарахноидальное кровоизлияние (САК) или изменения сосудистой системы головного мозга (I60.0), артериальные аневризмы церебральных сосудов, сосудистые мальформации ЦНС (I67.1) (артерио-венозные мальформации, каверномы (D18.0), артериовенозные фистулы), аномалии сосудистой системы мозга (болезнь Нисимото, расслаивающаяся аневризма церебральных сосудов (I67.0), вторичные причины (артериальная гипертензия (I10 - I15.9); васкулиты (I73.1; M30.1 - M35.2); болезни крови) нарушение свертывающей системы на фоне приема антикоагулянтов, дезагрегантов и других препаратов (D68.8 - D75.2; D47.3), угрожающих развитию САК, являются основаниями для принятия решения о негодности к обучению и работе.</w:t>
      </w:r>
    </w:p>
    <w:p>
      <w:pPr>
        <w:pStyle w:val="0"/>
        <w:spacing w:before="200" w:line-rule="auto"/>
        <w:ind w:firstLine="540"/>
        <w:jc w:val="both"/>
      </w:pPr>
      <w:r>
        <w:rPr>
          <w:sz w:val="20"/>
        </w:rPr>
        <w:t xml:space="preserve">222. После хирургической коррекции аневризм сосудов головного мозга при отсутствии признаков последствий кровоизлияний (I69.0; I69.3; I69.4) в виде очаговой неврологической симптоматики, судорожных припадков и нарушений когнитивных функций через 6 месяцев возможно рассматривать вопрос о допуске к УВД после стационарного обследования в неврологическом отделении медицинской организации, находящейся в ведении уполномоченного органа, и неврологом ЦВЛЭК ГА.</w:t>
      </w:r>
    </w:p>
    <w:p>
      <w:pPr>
        <w:pStyle w:val="0"/>
        <w:jc w:val="both"/>
      </w:pPr>
      <w:r>
        <w:rPr>
          <w:sz w:val="20"/>
        </w:rPr>
        <w:t xml:space="preserve">(в ред. </w:t>
      </w:r>
      <w:hyperlink w:history="0" r:id="rId16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223. Заявители с органическими заболеваниями нервной системы (опухоли (C69 - C72; C47), сирингомиелия (G95.0), рассеянный склероз (G35); болезнь Паркинсона (G20; G21)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(A80 - A89; B0 - B24), ликвородинамическими нарушениями, судорожными припадками), заболеваниями нервно-мышечного аппарата (G12 - G12.9) (миастения (G70 - G73), миопатия (G73.4; G73.7), миотония (G71.1), миоплегия) признаются не годными к обучению и работе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w:t>
      </w:r>
    </w:p>
    <w:p>
      <w:pPr>
        <w:pStyle w:val="0"/>
        <w:spacing w:before="200" w:line-rule="auto"/>
        <w:ind w:firstLine="540"/>
        <w:jc w:val="both"/>
      </w:pPr>
      <w:r>
        <w:rPr>
          <w:sz w:val="20"/>
        </w:rPr>
        <w:t xml:space="preserve">224.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через 6 месяцев наблюдения по результатам расширенного неврологического обследования на базе неврологического отделения медицинской организации, находящейся в ведении уполномоченного органа. Вынесение экспертного решения о допуске к УВД возможно в случае функциональной сохранности деятельности ЦНС и периферической НС. Абитуриенты признаются не годными к обучению.</w:t>
      </w:r>
    </w:p>
    <w:p>
      <w:pPr>
        <w:pStyle w:val="0"/>
        <w:jc w:val="both"/>
      </w:pPr>
      <w:r>
        <w:rPr>
          <w:sz w:val="20"/>
        </w:rPr>
        <w:t xml:space="preserve">(в ред. </w:t>
      </w:r>
      <w:hyperlink w:history="0" r:id="rId16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225. Доброкачественные внутричерепные образования после полного успешного удаления внутримозгового образования после 12 месяцев наблюдения могут претендовать на восстановление в профессии. С учетом клинических проявлений при отсутствии поражений соседних органов и систем (зрительного, слухового анализатора, гормональных нарушений), судорожных припадков, после обследования в неврологическом или нейрохирургическом отделении медицинской организации, находящейся в ведении уполномоченного органа, возможен допуск к профессиональной деятельности (D32.0; D36.1; D35.2; D35.4). В некоторых случаях при обнаружении доброкачественного образования небольших размеров (невринома 8 нерва; киста эпифиза; микроаденома гипофиза, менингиома и другие) без нарушения функций при отсутствии судорожных приступов, гормональных нарушений, нарушений ликвородинамики позволяется разрешить выдачу медицинского заключения без хирургического лечения (кроме абитуриентов, которые признаются не годными к обучению).</w:t>
      </w:r>
    </w:p>
    <w:p>
      <w:pPr>
        <w:pStyle w:val="0"/>
        <w:jc w:val="both"/>
      </w:pPr>
      <w:r>
        <w:rPr>
          <w:sz w:val="20"/>
        </w:rPr>
        <w:t xml:space="preserve">(в ред. </w:t>
      </w:r>
      <w:hyperlink w:history="0" r:id="rId16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226. Наличие злокачественного внутричерепного образования является основанием для отказа в выдаче медицинского заключения 3 класса (C69 - C72; C47).</w:t>
      </w:r>
    </w:p>
    <w:p>
      <w:pPr>
        <w:pStyle w:val="0"/>
        <w:spacing w:before="200" w:line-rule="auto"/>
        <w:ind w:firstLine="540"/>
        <w:jc w:val="both"/>
      </w:pPr>
      <w:r>
        <w:rPr>
          <w:sz w:val="20"/>
        </w:rPr>
        <w:t xml:space="preserve">227. Кандидаты на получение медицинского заключения, перенесшие инфекционное или интоксикационное заболевание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могут быть допущены к работе.</w:t>
      </w:r>
    </w:p>
    <w:p>
      <w:pPr>
        <w:pStyle w:val="0"/>
        <w:spacing w:before="200" w:line-rule="auto"/>
        <w:ind w:firstLine="540"/>
        <w:jc w:val="both"/>
      </w:pPr>
      <w:r>
        <w:rPr>
          <w:sz w:val="20"/>
        </w:rPr>
        <w:t xml:space="preserve">228. Эссенциальный тремор (G25.0) не является дисквалифицирующим фактором, кроме случаев, ведущих к значительным функциональным нарушениям, препятствующим выполнению профессиональной деятельности.</w:t>
      </w:r>
    </w:p>
    <w:p>
      <w:pPr>
        <w:pStyle w:val="0"/>
        <w:spacing w:before="200" w:line-rule="auto"/>
        <w:ind w:firstLine="540"/>
        <w:jc w:val="both"/>
      </w:pPr>
      <w:r>
        <w:rPr>
          <w:sz w:val="20"/>
        </w:rPr>
        <w:t xml:space="preserve">Абитуриенты признаются не годными к обучению.</w:t>
      </w:r>
    </w:p>
    <w:p>
      <w:pPr>
        <w:pStyle w:val="0"/>
        <w:spacing w:before="200" w:line-rule="auto"/>
        <w:ind w:firstLine="540"/>
        <w:jc w:val="both"/>
      </w:pPr>
      <w:r>
        <w:rPr>
          <w:sz w:val="20"/>
        </w:rPr>
        <w:t xml:space="preserve">229. Признаются не годными к обучению и работе без права признания годности в последующем кандидаты на получение медицинского заключения 3 класса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центральной нервной системы (ЦНС), нарушением психики, гипертензионным или судорожным синдромами; последствия травмы спинного мозга с двигательными, чувствительными нарушениями или тазовыми расстройствами (S02.2; S06.1 - S06.9; S14).</w:t>
      </w:r>
    </w:p>
    <w:p>
      <w:pPr>
        <w:pStyle w:val="0"/>
        <w:spacing w:before="200" w:line-rule="auto"/>
        <w:ind w:firstLine="540"/>
        <w:jc w:val="both"/>
      </w:pPr>
      <w:r>
        <w:rPr>
          <w:sz w:val="20"/>
        </w:rPr>
        <w:t xml:space="preserve">230. Медицинское освидетельствование кандидатов на получение медицинского заключения,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1 год после травмы с ограничением TML (до 6 месяцев) в течение 3 лет, перенесших сотрясение или легкую степень ушиба головного мозга (S06.0) - через 3 месяца после травмы.</w:t>
      </w:r>
    </w:p>
    <w:p>
      <w:pPr>
        <w:pStyle w:val="0"/>
        <w:spacing w:before="200" w:line-rule="auto"/>
        <w:ind w:firstLine="540"/>
        <w:jc w:val="both"/>
      </w:pPr>
      <w:r>
        <w:rPr>
          <w:sz w:val="20"/>
        </w:rPr>
        <w:t xml:space="preserve">231. При оценке годности учитывается длительность периода измененного сознания и амнезии. При прогнозировании возможности развития поздней посттравматической эпилепсии кроме характера и степени тяжести травмы учитываются и другие факторы риска (включая психологические и психические изменения). Оценка производится с учетом анамнеза по результатам расширенного обследования, включая психологическое тестирование.</w:t>
      </w:r>
    </w:p>
    <w:p>
      <w:pPr>
        <w:pStyle w:val="0"/>
        <w:spacing w:before="200" w:line-rule="auto"/>
        <w:ind w:firstLine="540"/>
        <w:jc w:val="both"/>
      </w:pPr>
      <w:r>
        <w:rPr>
          <w:sz w:val="20"/>
        </w:rPr>
        <w:t xml:space="preserve">232.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обучению и работе (G90; M89.0; G99; I73.0; E22.0; E22.1; E22.2).</w:t>
      </w:r>
    </w:p>
    <w:p>
      <w:pPr>
        <w:pStyle w:val="0"/>
        <w:spacing w:before="200" w:line-rule="auto"/>
        <w:ind w:firstLine="540"/>
        <w:jc w:val="both"/>
      </w:pPr>
      <w:r>
        <w:rPr>
          <w:sz w:val="20"/>
        </w:rPr>
        <w:t xml:space="preserve">233. Годность к работе лиц с дисфункцией конституционально-наследственного генеза, а также дисфункцией, возникшей на фоне гормональной перестройки или после перенесенной соматической патологии, возможна в стадии стойкой ремиссии на момент обследования (G99.1; G43) (2 - 3 месяца после излечения основного заболевания).</w:t>
      </w:r>
    </w:p>
    <w:p>
      <w:pPr>
        <w:pStyle w:val="0"/>
        <w:spacing w:before="200" w:line-rule="auto"/>
        <w:ind w:firstLine="540"/>
        <w:jc w:val="both"/>
      </w:pPr>
      <w:r>
        <w:rPr>
          <w:sz w:val="20"/>
        </w:rPr>
        <w:t xml:space="preserve">234. При заболеваниях и повреждениях периферической нервной системы - хронических с частыми обострениями (2 и более раз в наблюдаемом году), при наличии расстройства движения, чувствительности, трофики и стойкого болевого синдрома оценка годности к обучению и работе производится индивидуально с применением официального медицинского заключения (M54 - M54.9; G54.0 - G54.8; G63.0; G63.2 (E10 - E14*); G63.3; G63.8; G63.0).</w:t>
      </w:r>
    </w:p>
    <w:p>
      <w:pPr>
        <w:pStyle w:val="0"/>
        <w:spacing w:before="200" w:line-rule="auto"/>
        <w:ind w:firstLine="540"/>
        <w:jc w:val="both"/>
      </w:pPr>
      <w:r>
        <w:rPr>
          <w:sz w:val="20"/>
        </w:rPr>
        <w:t xml:space="preserve">235. Кандидаты на получение медицинского заключения 3 класса с хроническими заболеваниями и травматическими повреждениями корешков спинного мозга, сплетений, нервных стволов, ганглиев, с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 годными к обучению.</w:t>
      </w:r>
    </w:p>
    <w:p>
      <w:pPr>
        <w:pStyle w:val="0"/>
        <w:spacing w:before="200" w:line-rule="auto"/>
        <w:ind w:firstLine="540"/>
        <w:jc w:val="both"/>
      </w:pPr>
      <w:r>
        <w:rPr>
          <w:sz w:val="20"/>
        </w:rPr>
        <w:t xml:space="preserve">236. После удаления грыжи межпозвонкового диска освидетельствование проводится через 3 - 6 месяцев после операции с учетом характера операции и течения послеоперационного периода.</w:t>
      </w:r>
    </w:p>
    <w:p>
      <w:pPr>
        <w:pStyle w:val="0"/>
        <w:spacing w:before="200" w:line-rule="auto"/>
        <w:ind w:firstLine="540"/>
        <w:jc w:val="both"/>
      </w:pPr>
      <w:r>
        <w:rPr>
          <w:sz w:val="20"/>
        </w:rPr>
        <w:t xml:space="preserve">237. При наличии заболевания, сопровождающегося обмороками, годность к обучению и работе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противопоказанием для кандидатов на получение медицинского заключения, поступающих на учебу.</w:t>
      </w:r>
    </w:p>
    <w:p>
      <w:pPr>
        <w:pStyle w:val="0"/>
        <w:spacing w:before="200" w:line-rule="auto"/>
        <w:ind w:firstLine="540"/>
        <w:jc w:val="both"/>
      </w:pPr>
      <w:r>
        <w:rPr>
          <w:sz w:val="20"/>
        </w:rPr>
        <w:t xml:space="preserve">238. Кандидаты на получение медицинского заключения, перенесшие синкопальные состояния (обмороки), отстраняются от работы и направляются на обследование в неврологическое отделение медицинской организации, находящейся в ведении уполномоченного органа. Возможность выдачи положительного медицинского заключения рассматривается, если установлен доброкачественный характер события и исключены потенциально серьезные механизмы синкопального состояния.</w:t>
      </w:r>
    </w:p>
    <w:p>
      <w:pPr>
        <w:pStyle w:val="0"/>
        <w:jc w:val="both"/>
      </w:pPr>
      <w:r>
        <w:rPr>
          <w:sz w:val="20"/>
        </w:rPr>
        <w:t xml:space="preserve">(в ред. </w:t>
      </w:r>
      <w:hyperlink w:history="0" r:id="rId16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239. При одно-двухкратном полностью объясненном доброкачественном эпизоде кандидат подлежит наблюдению в межкомиссионный период. При множественных повторяющихся эпизодах кандидаты на получение медицинского заключения признаются не годными к обучению и работе.</w:t>
      </w:r>
    </w:p>
    <w:p>
      <w:pPr>
        <w:pStyle w:val="0"/>
        <w:spacing w:before="200" w:line-rule="auto"/>
        <w:ind w:firstLine="540"/>
        <w:jc w:val="both"/>
      </w:pPr>
      <w:r>
        <w:rPr>
          <w:sz w:val="20"/>
        </w:rPr>
        <w:t xml:space="preserve">240. Возврат к положительному решению о допуске возможен после 12 месяцев наблюдения и повторного расширенного обследования.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кандидаты признаются не годными к обучению и работе.</w:t>
      </w:r>
    </w:p>
    <w:p>
      <w:pPr>
        <w:pStyle w:val="0"/>
        <w:jc w:val="both"/>
      </w:pPr>
      <w:r>
        <w:rPr>
          <w:sz w:val="20"/>
        </w:rPr>
      </w:r>
    </w:p>
    <w:p>
      <w:pPr>
        <w:pStyle w:val="2"/>
        <w:outlineLvl w:val="2"/>
        <w:jc w:val="center"/>
      </w:pPr>
      <w:r>
        <w:rPr>
          <w:sz w:val="20"/>
        </w:rPr>
        <w:t xml:space="preserve">XIV. Офтальмология (H00 - H59)</w:t>
      </w:r>
    </w:p>
    <w:p>
      <w:pPr>
        <w:pStyle w:val="0"/>
        <w:jc w:val="both"/>
      </w:pPr>
      <w:r>
        <w:rPr>
          <w:sz w:val="20"/>
        </w:rPr>
      </w:r>
    </w:p>
    <w:p>
      <w:pPr>
        <w:pStyle w:val="0"/>
        <w:ind w:firstLine="540"/>
        <w:jc w:val="both"/>
      </w:pPr>
      <w:r>
        <w:rPr>
          <w:sz w:val="20"/>
        </w:rPr>
        <w:t xml:space="preserve">241. У кандидата на получение медицинского заключения не должно быть: нарушения функции зрения, заболеваний как врожденных, так и приобретенных, острых или хронических состояний или каких-либо осложнений после хирургических вмешательств, травмы глаза или его придаточного аппарата, которые могут привести к ослаблению зрительных функций в такой степени, что могут повлиять на выполнение профессиональных обязанностей.</w:t>
      </w:r>
    </w:p>
    <w:p>
      <w:pPr>
        <w:pStyle w:val="0"/>
        <w:spacing w:before="200" w:line-rule="auto"/>
        <w:ind w:firstLine="540"/>
        <w:jc w:val="both"/>
      </w:pPr>
      <w:r>
        <w:rPr>
          <w:sz w:val="20"/>
        </w:rPr>
        <w:t xml:space="preserve">242. У кандидата на получение медицинского заключения должно быть устойчивое бинокулярное зрение, нормальное поле зрения, внутриглазное давление, соответствующее норме.</w:t>
      </w:r>
    </w:p>
    <w:p>
      <w:pPr>
        <w:pStyle w:val="0"/>
        <w:spacing w:before="200" w:line-rule="auto"/>
        <w:ind w:firstLine="540"/>
        <w:jc w:val="both"/>
      </w:pPr>
      <w:r>
        <w:rPr>
          <w:sz w:val="20"/>
        </w:rPr>
        <w:t xml:space="preserve">243. Результаты исследования темновой адаптации и чувствительности к ослеплению должны соответствовать нормам, указанным в инструкции используемого прибора.</w:t>
      </w:r>
    </w:p>
    <w:p>
      <w:pPr>
        <w:pStyle w:val="0"/>
        <w:jc w:val="both"/>
      </w:pPr>
      <w:r>
        <w:rPr>
          <w:sz w:val="20"/>
        </w:rPr>
      </w:r>
    </w:p>
    <w:p>
      <w:pPr>
        <w:pStyle w:val="2"/>
        <w:outlineLvl w:val="3"/>
        <w:jc w:val="center"/>
      </w:pPr>
      <w:r>
        <w:rPr>
          <w:sz w:val="20"/>
        </w:rPr>
        <w:t xml:space="preserve">Острота зрения (H52)</w:t>
      </w:r>
    </w:p>
    <w:p>
      <w:pPr>
        <w:pStyle w:val="0"/>
        <w:jc w:val="both"/>
      </w:pPr>
      <w:r>
        <w:rPr>
          <w:sz w:val="20"/>
        </w:rPr>
      </w:r>
    </w:p>
    <w:p>
      <w:pPr>
        <w:pStyle w:val="0"/>
        <w:ind w:firstLine="540"/>
        <w:jc w:val="both"/>
      </w:pPr>
      <w:r>
        <w:rPr>
          <w:sz w:val="20"/>
        </w:rPr>
        <w:t xml:space="preserve">244. Проверку остроты зрения рекомендовано проводить в хорошо освещенной комнате, низких и высоких уровней освещенности следует избегать. Рекомендуемое расстояние для проверки остроты зрения вдаль - 5 - 6 метров.</w:t>
      </w:r>
    </w:p>
    <w:p>
      <w:pPr>
        <w:pStyle w:val="0"/>
        <w:spacing w:before="200" w:line-rule="auto"/>
        <w:ind w:firstLine="540"/>
        <w:jc w:val="both"/>
      </w:pPr>
      <w:r>
        <w:rPr>
          <w:sz w:val="20"/>
        </w:rPr>
        <w:t xml:space="preserve">245. Острота зрения вдаль исследуется монокулярно, бинокулярно; без коррекции, с коррекцией; указывается истинная острота зрения.</w:t>
      </w:r>
    </w:p>
    <w:p>
      <w:pPr>
        <w:pStyle w:val="0"/>
        <w:spacing w:before="200" w:line-rule="auto"/>
        <w:ind w:firstLine="540"/>
        <w:jc w:val="both"/>
      </w:pPr>
      <w:r>
        <w:rPr>
          <w:sz w:val="20"/>
        </w:rPr>
        <w:t xml:space="preserve">246. Для кандидатов на получение медицинского заключения 3 класса пределы в отношении некорригированной остроты зрения не устанавливаются, острота зрения с коррекцией должна составлять 0,8 и выше на каждый глаз, обязательно наличие нормального поля зрения. Для кандидатов на получение медицинского заключения 3 класса при первичном медицинском освидетельствовании острота зрения должна быть не ниже 0,1 без коррекции при условии, что достигается соответствующая коррекция остроты зрения 0,8 и выше с помощью контактных линз и/или очков с соответствующими корригирующими линзами, а также имеется нормальное поле зрения.</w:t>
      </w:r>
    </w:p>
    <w:p>
      <w:pPr>
        <w:pStyle w:val="0"/>
        <w:spacing w:before="200" w:line-rule="auto"/>
        <w:ind w:firstLine="540"/>
        <w:jc w:val="both"/>
      </w:pPr>
      <w:r>
        <w:rPr>
          <w:sz w:val="20"/>
        </w:rPr>
        <w:t xml:space="preserve">247. Кандидатам на получение медицинского заключения при бинокулярной остроте зрения без коррекции 0.7 и выше, в том числе в условиях темновой адаптации, оптическая коррекция для дали (очки/контактные линзы) не требуется.</w:t>
      </w:r>
    </w:p>
    <w:p>
      <w:pPr>
        <w:pStyle w:val="0"/>
        <w:spacing w:before="200" w:line-rule="auto"/>
        <w:ind w:firstLine="540"/>
        <w:jc w:val="both"/>
      </w:pPr>
      <w:r>
        <w:rPr>
          <w:sz w:val="20"/>
        </w:rPr>
        <w:t xml:space="preserve">248. Коррекция ошибки рефракции необходима в том случае, если острота некорригированного зрения на оба глаза ниже 0,7 или когда проявляются симптомы астенопии, которые объясняются ошибкой рефракции. Определение надлежащей оптической коррекции для лица с ошибкой рефракции должно проводиться квалифицированным офтальмологом.</w:t>
      </w:r>
    </w:p>
    <w:p>
      <w:pPr>
        <w:pStyle w:val="0"/>
        <w:spacing w:before="200" w:line-rule="auto"/>
        <w:ind w:firstLine="540"/>
        <w:jc w:val="both"/>
      </w:pPr>
      <w:r>
        <w:rPr>
          <w:sz w:val="20"/>
        </w:rPr>
        <w:t xml:space="preserve">249. В случаях когда вышеуказанная острота зрения достигается с помощью оптической коррекции, кандидат может быть признан годным при условии, что используемые корригирующие очки или контактные линзы допустимы при осуществлении прав, предусмотренных свидетельством или квалификационными отметками.</w:t>
      </w:r>
    </w:p>
    <w:p>
      <w:pPr>
        <w:pStyle w:val="0"/>
        <w:spacing w:before="200" w:line-rule="auto"/>
        <w:ind w:firstLine="540"/>
        <w:jc w:val="both"/>
      </w:pPr>
      <w:r>
        <w:rPr>
          <w:sz w:val="20"/>
        </w:rPr>
        <w:t xml:space="preserve">250. Перечисленные виды контактных линз не могут быть использованы:</w:t>
      </w:r>
    </w:p>
    <w:p>
      <w:pPr>
        <w:pStyle w:val="0"/>
        <w:spacing w:before="200" w:line-rule="auto"/>
        <w:ind w:firstLine="540"/>
        <w:jc w:val="both"/>
      </w:pPr>
      <w:r>
        <w:rPr>
          <w:sz w:val="20"/>
        </w:rPr>
        <w:t xml:space="preserve">ортокератологические линзы;</w:t>
      </w:r>
    </w:p>
    <w:p>
      <w:pPr>
        <w:pStyle w:val="0"/>
        <w:spacing w:before="200" w:line-rule="auto"/>
        <w:ind w:firstLine="540"/>
        <w:jc w:val="both"/>
      </w:pPr>
      <w:r>
        <w:rPr>
          <w:sz w:val="20"/>
        </w:rPr>
        <w:t xml:space="preserve">моновидение (если корригируют аметропию одного глаза на остроту зрения вдаль, а другой глаз используют без МКЛ для зрения вблизи);</w:t>
      </w:r>
    </w:p>
    <w:p>
      <w:pPr>
        <w:pStyle w:val="0"/>
        <w:spacing w:before="200" w:line-rule="auto"/>
        <w:ind w:firstLine="540"/>
        <w:jc w:val="both"/>
      </w:pPr>
      <w:r>
        <w:rPr>
          <w:sz w:val="20"/>
        </w:rPr>
        <w:t xml:space="preserve">мультифокальные контактные линзы;</w:t>
      </w:r>
    </w:p>
    <w:p>
      <w:pPr>
        <w:pStyle w:val="0"/>
        <w:spacing w:before="200" w:line-rule="auto"/>
        <w:ind w:firstLine="540"/>
        <w:jc w:val="both"/>
      </w:pPr>
      <w:r>
        <w:rPr>
          <w:sz w:val="20"/>
        </w:rPr>
        <w:t xml:space="preserve">косметические цветные линзы;</w:t>
      </w:r>
    </w:p>
    <w:p>
      <w:pPr>
        <w:pStyle w:val="0"/>
        <w:spacing w:before="200" w:line-rule="auto"/>
        <w:ind w:firstLine="540"/>
        <w:jc w:val="both"/>
      </w:pPr>
      <w:r>
        <w:rPr>
          <w:sz w:val="20"/>
        </w:rPr>
        <w:t xml:space="preserve">линзы для изменения цветового восприятия.</w:t>
      </w:r>
    </w:p>
    <w:p>
      <w:pPr>
        <w:pStyle w:val="0"/>
        <w:spacing w:before="200" w:line-rule="auto"/>
        <w:ind w:firstLine="540"/>
        <w:jc w:val="both"/>
      </w:pPr>
      <w:r>
        <w:rPr>
          <w:sz w:val="20"/>
        </w:rPr>
        <w:t xml:space="preserve">251. При выполнении профессиональных обязанностей может быть использовано не более одной пары очков (то есть одна пара очков должна удовлетворять в полном объеме все визуальные задачи).</w:t>
      </w:r>
    </w:p>
    <w:p>
      <w:pPr>
        <w:pStyle w:val="0"/>
        <w:spacing w:before="200" w:line-rule="auto"/>
        <w:ind w:firstLine="540"/>
        <w:jc w:val="both"/>
      </w:pPr>
      <w:r>
        <w:rPr>
          <w:sz w:val="20"/>
        </w:rPr>
        <w:t xml:space="preserve">252. Все виды коррекции с использованием мультифокальных линз (очковой коррекции) приемлемы при условии, что они хорошо переносятся. Контактные линзы должны быть монофокальными, неокрашенными и хорошо переносимыми.</w:t>
      </w:r>
    </w:p>
    <w:p>
      <w:pPr>
        <w:pStyle w:val="0"/>
        <w:jc w:val="both"/>
      </w:pPr>
      <w:r>
        <w:rPr>
          <w:sz w:val="20"/>
        </w:rPr>
      </w:r>
    </w:p>
    <w:p>
      <w:pPr>
        <w:pStyle w:val="2"/>
        <w:outlineLvl w:val="3"/>
        <w:jc w:val="center"/>
      </w:pPr>
      <w:r>
        <w:rPr>
          <w:sz w:val="20"/>
        </w:rPr>
        <w:t xml:space="preserve">Аккомодация (H52)</w:t>
      </w:r>
    </w:p>
    <w:p>
      <w:pPr>
        <w:pStyle w:val="0"/>
        <w:jc w:val="both"/>
      </w:pPr>
      <w:r>
        <w:rPr>
          <w:sz w:val="20"/>
        </w:rPr>
      </w:r>
    </w:p>
    <w:p>
      <w:pPr>
        <w:pStyle w:val="0"/>
        <w:ind w:firstLine="540"/>
        <w:jc w:val="both"/>
      </w:pPr>
      <w:r>
        <w:rPr>
          <w:sz w:val="20"/>
        </w:rPr>
        <w:t xml:space="preserve">253. Остроту зрения вблизи/на средней дистанции необходимо определять и регистрировать с корригирующими линзами (при необходимости) и без них.</w:t>
      </w:r>
    </w:p>
    <w:p>
      <w:pPr>
        <w:pStyle w:val="0"/>
        <w:spacing w:before="200" w:line-rule="auto"/>
        <w:ind w:firstLine="540"/>
        <w:jc w:val="both"/>
      </w:pPr>
      <w:r>
        <w:rPr>
          <w:sz w:val="20"/>
        </w:rPr>
        <w:t xml:space="preserve">254. Кандидаты на получение медицинского заключения должны вблизи читать таблицу N 5 (острота зрения 0.6) на расстоянии 30 - 50 см и таблицу N 8 (острота зрения 0.3) на расстоянии 100 см, при необходимости - с помощью коррекции.</w:t>
      </w:r>
    </w:p>
    <w:p>
      <w:pPr>
        <w:pStyle w:val="0"/>
        <w:jc w:val="both"/>
      </w:pPr>
      <w:r>
        <w:rPr>
          <w:sz w:val="20"/>
        </w:rPr>
      </w:r>
    </w:p>
    <w:p>
      <w:pPr>
        <w:pStyle w:val="2"/>
        <w:outlineLvl w:val="3"/>
        <w:jc w:val="center"/>
      </w:pPr>
      <w:r>
        <w:rPr>
          <w:sz w:val="20"/>
        </w:rPr>
        <w:t xml:space="preserve">Ошибка рефракции (H52)</w:t>
      </w:r>
    </w:p>
    <w:p>
      <w:pPr>
        <w:pStyle w:val="0"/>
        <w:jc w:val="both"/>
      </w:pPr>
      <w:r>
        <w:rPr>
          <w:sz w:val="20"/>
        </w:rPr>
      </w:r>
    </w:p>
    <w:bookmarkStart w:id="3143" w:name="P3143"/>
    <w:bookmarkEnd w:id="3143"/>
    <w:p>
      <w:pPr>
        <w:pStyle w:val="0"/>
        <w:ind w:firstLine="540"/>
        <w:jc w:val="both"/>
      </w:pPr>
      <w:r>
        <w:rPr>
          <w:sz w:val="20"/>
        </w:rPr>
        <w:t xml:space="preserve">255. Кандидаты на получение медицинского заключения должны быть признаны не годными к обучению и работе при отсутствии нормальной бинокулярной функции, отсутствии нормального поля зрения, наличии диплопии. Решение о годности возможно после офтальмологического обследования ЦВЛЭК ГА с выдачей официального медицинского заключения.</w:t>
      </w:r>
    </w:p>
    <w:p>
      <w:pPr>
        <w:pStyle w:val="0"/>
        <w:spacing w:before="200" w:line-rule="auto"/>
        <w:ind w:firstLine="540"/>
        <w:jc w:val="both"/>
      </w:pPr>
      <w:r>
        <w:rPr>
          <w:sz w:val="20"/>
        </w:rPr>
        <w:t xml:space="preserve">256. Кандидаты на получение медицинского заключения при поступлении в учебное заведение ГА подлежат проверке объективной рефракции в условиях циклоплегии (циклопентолат - 1%, атропин - 1%).</w:t>
      </w:r>
    </w:p>
    <w:p>
      <w:pPr>
        <w:pStyle w:val="0"/>
        <w:spacing w:before="200" w:line-rule="auto"/>
        <w:ind w:firstLine="540"/>
        <w:jc w:val="both"/>
      </w:pPr>
      <w:r>
        <w:rPr>
          <w:sz w:val="20"/>
        </w:rPr>
        <w:t xml:space="preserve">Кандидатам на получение медицинского заключения обследование в условиях циклоплегии проводится при наличии показаний (для диагностики офтальмологической патологии), при этом используются мидриатики короткого действия (тропикамид - 1%).</w:t>
      </w:r>
    </w:p>
    <w:p>
      <w:pPr>
        <w:pStyle w:val="0"/>
        <w:spacing w:before="200" w:line-rule="auto"/>
        <w:ind w:firstLine="540"/>
        <w:jc w:val="both"/>
      </w:pPr>
      <w:r>
        <w:rPr>
          <w:sz w:val="20"/>
        </w:rPr>
        <w:t xml:space="preserve">257. Кандидат на получение медицинского заключения с перечисленными ниже ошибками рефракции может быть оценен как соответствующий требованиям при условии, что подобрана оптимальная, хорошо-переносимая коррекция, при этом значительной глазной патологии не выявлено.</w:t>
      </w:r>
    </w:p>
    <w:p>
      <w:pPr>
        <w:pStyle w:val="0"/>
        <w:spacing w:before="200" w:line-rule="auto"/>
        <w:ind w:firstLine="540"/>
        <w:jc w:val="both"/>
      </w:pPr>
      <w:r>
        <w:rPr>
          <w:sz w:val="20"/>
        </w:rPr>
        <w:t xml:space="preserve">258. Кандидат на получение медицинского заключения 3 класса признается годным к обучению и работе: миопия не выше 6.0D; гиперметропия, не выше 4.0D; астигматизм, не превышающий +/- 2.5D; анизометропия, не превышающая 2.5D при условии достижения оптимальной коррекции не ниже 0,8 на каждый глаз. При прохождении первичного обследования кандидат на получение медицинского заключения признается годным: миопия не выше 4.0D, гиперметропия не выше 4.0D; астигматизм не выше +/- 1.5D; анизометропия не выше 2.0D при условии достижения оптимальной коррекции не ниже 0.8 на каждый глаз.</w:t>
      </w:r>
    </w:p>
    <w:p>
      <w:pPr>
        <w:pStyle w:val="0"/>
        <w:spacing w:before="200" w:line-rule="auto"/>
        <w:ind w:firstLine="540"/>
        <w:jc w:val="both"/>
      </w:pPr>
      <w:r>
        <w:rPr>
          <w:sz w:val="20"/>
        </w:rPr>
        <w:t xml:space="preserve">Диагноз выносится с указанием вида и степени ошибки рефракции.</w:t>
      </w:r>
    </w:p>
    <w:p>
      <w:pPr>
        <w:pStyle w:val="0"/>
        <w:spacing w:before="200" w:line-rule="auto"/>
        <w:ind w:firstLine="540"/>
        <w:jc w:val="both"/>
      </w:pPr>
      <w:r>
        <w:rPr>
          <w:sz w:val="20"/>
        </w:rPr>
        <w:t xml:space="preserve">259. Кандидатам на получение медицинского заключения с пониженной остротой зрения/при наличии пресбиопии предписывается выполнять работу в корригирующих очках или контактных линзах и иметь при себе запасной комплект очков. В данных случаях устанавливаются ограничения VDL, VML, VNL с отметкой в медицинском заключении. Наличие и качество очков (контактных линз) контролируются при прохождении предсменного осмотра.</w:t>
      </w:r>
    </w:p>
    <w:bookmarkStart w:id="3150" w:name="P3150"/>
    <w:bookmarkEnd w:id="3150"/>
    <w:p>
      <w:pPr>
        <w:pStyle w:val="0"/>
        <w:spacing w:before="200" w:line-rule="auto"/>
        <w:ind w:firstLine="540"/>
        <w:jc w:val="both"/>
      </w:pPr>
      <w:r>
        <w:rPr>
          <w:sz w:val="20"/>
        </w:rPr>
        <w:t xml:space="preserve">260. Кандидаты на получение медицинского заключения должны иметь легкодоступные запасные корригирующие очки, которые обеспечивают оптимальную зрительную функцию, удобные и подходящие для выполнения профессиональных обязанностей.</w:t>
      </w:r>
    </w:p>
    <w:p>
      <w:pPr>
        <w:pStyle w:val="0"/>
        <w:jc w:val="both"/>
      </w:pPr>
      <w:r>
        <w:rPr>
          <w:sz w:val="20"/>
        </w:rPr>
      </w:r>
    </w:p>
    <w:p>
      <w:pPr>
        <w:pStyle w:val="2"/>
        <w:outlineLvl w:val="3"/>
        <w:jc w:val="center"/>
      </w:pPr>
      <w:r>
        <w:rPr>
          <w:sz w:val="20"/>
        </w:rPr>
        <w:t xml:space="preserve">Цветовосприятие (H53.5)</w:t>
      </w:r>
    </w:p>
    <w:p>
      <w:pPr>
        <w:pStyle w:val="0"/>
        <w:jc w:val="both"/>
      </w:pPr>
      <w:r>
        <w:rPr>
          <w:sz w:val="20"/>
        </w:rPr>
      </w:r>
    </w:p>
    <w:p>
      <w:pPr>
        <w:pStyle w:val="0"/>
        <w:ind w:firstLine="540"/>
        <w:jc w:val="both"/>
      </w:pPr>
      <w:r>
        <w:rPr>
          <w:sz w:val="20"/>
        </w:rPr>
        <w:t xml:space="preserve">261. От кандидата на получение медицинского заключения требуется продемонстрировать способность правильно различать цвета, необходимую для безопасного выполнения профессиональных обязанностей.</w:t>
      </w:r>
    </w:p>
    <w:p>
      <w:pPr>
        <w:pStyle w:val="0"/>
        <w:spacing w:before="200" w:line-rule="auto"/>
        <w:ind w:firstLine="540"/>
        <w:jc w:val="both"/>
      </w:pPr>
      <w:r>
        <w:rPr>
          <w:sz w:val="20"/>
        </w:rPr>
        <w:t xml:space="preserve">262. Первоначально кандидаты на получение медицинского заключения должны пройти проверку цветовосприятия с использованием полихроматических таблиц.</w:t>
      </w:r>
    </w:p>
    <w:p>
      <w:pPr>
        <w:pStyle w:val="0"/>
        <w:spacing w:before="200" w:line-rule="auto"/>
        <w:ind w:firstLine="540"/>
        <w:jc w:val="both"/>
      </w:pPr>
      <w:r>
        <w:rPr>
          <w:sz w:val="20"/>
        </w:rPr>
        <w:t xml:space="preserve">263. Кандидаты на получение медицинского заключения, не прошедшие проверку по полихроматическим таблицам, должны пройти дополнительное тестирование - компьютерную аномалоскопию. К результату обследования должен быть приложен полный протокол тестирования.</w:t>
      </w:r>
    </w:p>
    <w:p>
      <w:pPr>
        <w:pStyle w:val="0"/>
        <w:spacing w:before="200" w:line-rule="auto"/>
        <w:ind w:firstLine="540"/>
        <w:jc w:val="both"/>
      </w:pPr>
      <w:r>
        <w:rPr>
          <w:sz w:val="20"/>
        </w:rPr>
        <w:t xml:space="preserve">При выявлении нарушения цветовосприятия компьютерная аномалоскопия проводится один раз в случаях отсутствия дополнительных показаний.</w:t>
      </w:r>
    </w:p>
    <w:p>
      <w:pPr>
        <w:pStyle w:val="0"/>
        <w:jc w:val="both"/>
      </w:pPr>
      <w:r>
        <w:rPr>
          <w:sz w:val="20"/>
        </w:rPr>
        <w:t xml:space="preserve">(абзац введен </w:t>
      </w:r>
      <w:hyperlink w:history="0" r:id="rId16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264. Диагноз расстройства цветового зрения выносится с указанием вида, формы и степени нарушения согласно принятой классификации.</w:t>
      </w:r>
    </w:p>
    <w:p>
      <w:pPr>
        <w:pStyle w:val="0"/>
        <w:spacing w:before="200" w:line-rule="auto"/>
        <w:ind w:firstLine="540"/>
        <w:jc w:val="both"/>
      </w:pPr>
      <w:r>
        <w:rPr>
          <w:sz w:val="20"/>
        </w:rPr>
        <w:t xml:space="preserve">265. Для кандидатов на получение медицинского заключения расстройство цветовосприятия по типу "цветослабость", такие как дейтераномалия типов "C", "B", протаномалия типов "C", "B", не являются причинами для отказа в выдаче медицинского заключения. Кандидаты на получение медицинского заключения 3 класса с такими расстройствами цветовосприятия, как аномальная трихромазия (протаномалия, дейтераномалия, тританомалия) типа "A", дихромазия (протанопия, дейтеранопия, тританопия), монохромазия, должны быть признаны не годными к обучению и работе.</w:t>
      </w:r>
    </w:p>
    <w:p>
      <w:pPr>
        <w:pStyle w:val="0"/>
        <w:jc w:val="both"/>
      </w:pPr>
      <w:r>
        <w:rPr>
          <w:sz w:val="20"/>
        </w:rPr>
      </w:r>
    </w:p>
    <w:p>
      <w:pPr>
        <w:pStyle w:val="2"/>
        <w:outlineLvl w:val="3"/>
        <w:jc w:val="center"/>
      </w:pPr>
      <w:r>
        <w:rPr>
          <w:sz w:val="20"/>
        </w:rPr>
        <w:t xml:space="preserve">Глазные болезни. Нарушение зрительных функций. Понижение</w:t>
      </w:r>
    </w:p>
    <w:p>
      <w:pPr>
        <w:pStyle w:val="2"/>
        <w:jc w:val="center"/>
      </w:pPr>
      <w:r>
        <w:rPr>
          <w:sz w:val="20"/>
        </w:rPr>
        <w:t xml:space="preserve">остроты зрения вследствие заболеваний глазного яблока:</w:t>
      </w:r>
    </w:p>
    <w:p>
      <w:pPr>
        <w:pStyle w:val="2"/>
        <w:jc w:val="center"/>
      </w:pPr>
      <w:r>
        <w:rPr>
          <w:sz w:val="20"/>
        </w:rPr>
        <w:t xml:space="preserve">воспалительного, сосудистого, дегенеративного характера,</w:t>
      </w:r>
    </w:p>
    <w:p>
      <w:pPr>
        <w:pStyle w:val="2"/>
        <w:jc w:val="center"/>
      </w:pPr>
      <w:r>
        <w:rPr>
          <w:sz w:val="20"/>
        </w:rPr>
        <w:t xml:space="preserve">после оперативных вмешательств, травмы, новообразований</w:t>
      </w:r>
    </w:p>
    <w:p>
      <w:pPr>
        <w:pStyle w:val="2"/>
        <w:jc w:val="center"/>
      </w:pPr>
      <w:r>
        <w:rPr>
          <w:sz w:val="20"/>
        </w:rPr>
        <w:t xml:space="preserve">(H00 - H06; H10 - H13; H15 - H22; H25 - H28; H30 - H36;</w:t>
      </w:r>
    </w:p>
    <w:p>
      <w:pPr>
        <w:pStyle w:val="2"/>
        <w:jc w:val="center"/>
      </w:pPr>
      <w:r>
        <w:rPr>
          <w:sz w:val="20"/>
        </w:rPr>
        <w:t xml:space="preserve">H43 - H48; H53 - H59; C69)</w:t>
      </w:r>
    </w:p>
    <w:p>
      <w:pPr>
        <w:pStyle w:val="0"/>
        <w:jc w:val="both"/>
      </w:pPr>
      <w:r>
        <w:rPr>
          <w:sz w:val="20"/>
        </w:rPr>
      </w:r>
    </w:p>
    <w:p>
      <w:pPr>
        <w:pStyle w:val="0"/>
        <w:ind w:firstLine="540"/>
        <w:jc w:val="both"/>
      </w:pPr>
      <w:r>
        <w:rPr>
          <w:sz w:val="20"/>
        </w:rPr>
        <w:t xml:space="preserve">266. Кандидаты на получение медицинского заключения при первичном медицинском освидетельствовании с приобретенным (вследствие каких-либо патологических состояний) сниженным зрением (или нарушенными зрительными функциями) хотя бы на один глаз должны быть признаны не годными к обучению и работе.</w:t>
      </w:r>
    </w:p>
    <w:bookmarkStart w:id="3170" w:name="P3170"/>
    <w:bookmarkEnd w:id="3170"/>
    <w:p>
      <w:pPr>
        <w:pStyle w:val="0"/>
        <w:spacing w:before="200" w:line-rule="auto"/>
        <w:ind w:firstLine="540"/>
        <w:jc w:val="both"/>
      </w:pPr>
      <w:r>
        <w:rPr>
          <w:sz w:val="20"/>
        </w:rPr>
        <w:t xml:space="preserve">267. Кандидаты на получение медицинского заключения 3 класса с патологическим снижением зрения на один глаз (ослабление центрального зрения) могут быть признаны годными к УВД при определенных условиях: бинокулярное зрение сохранено, второй глаз имеет остроту зрения вдаль 1.0 с коррекцией или без коррекции, достигает промежуточной остроты зрения (ближняя, средняя дистанции), лежащая в основе патология является приемлемой согласно офтальмологической оценке (острота зрения на худшем глазу не ниже 0.3 без коррекции/с коррекцией - для лиц с ошибкой рефракции), нормальное поле зрения, темновая адаптация, устойчивое бинокулярное зрение), а в незатронутом глазу нет значительной глазной патологии.</w:t>
      </w:r>
    </w:p>
    <w:p>
      <w:pPr>
        <w:pStyle w:val="0"/>
        <w:spacing w:before="200" w:line-rule="auto"/>
        <w:ind w:firstLine="540"/>
        <w:jc w:val="both"/>
      </w:pPr>
      <w:r>
        <w:rPr>
          <w:sz w:val="20"/>
        </w:rPr>
        <w:t xml:space="preserve">268. Кандидаты на получение медицинского заключения с отсутствием бинокулярного зрения признаются не годными к обучению и работе с учетом высокого риска развития диплопии и синдрома изменения местоположения. Оценку бинокулярного зрения необходимо проводить в рамках каждого медицинского освидетельствования.</w:t>
      </w:r>
    </w:p>
    <w:p>
      <w:pPr>
        <w:pStyle w:val="0"/>
        <w:spacing w:before="200" w:line-rule="auto"/>
        <w:ind w:firstLine="540"/>
        <w:jc w:val="both"/>
      </w:pPr>
      <w:r>
        <w:rPr>
          <w:sz w:val="20"/>
        </w:rPr>
        <w:t xml:space="preserve">269. Периферическое поле зрение должно быть в пределах нормы. Дефекты поля зрения в одном или обоих глазах могут быть приемлемыми, если они компенсируют друг друга так, что бинокулярное поле зрения сохраняется.</w:t>
      </w:r>
    </w:p>
    <w:p>
      <w:pPr>
        <w:pStyle w:val="0"/>
        <w:jc w:val="both"/>
      </w:pPr>
      <w:r>
        <w:rPr>
          <w:sz w:val="20"/>
        </w:rPr>
      </w:r>
    </w:p>
    <w:p>
      <w:pPr>
        <w:pStyle w:val="2"/>
        <w:outlineLvl w:val="3"/>
        <w:jc w:val="center"/>
      </w:pPr>
      <w:r>
        <w:rPr>
          <w:sz w:val="20"/>
        </w:rPr>
        <w:t xml:space="preserve">Заболевания век и конъюнктивы</w:t>
      </w:r>
    </w:p>
    <w:p>
      <w:pPr>
        <w:pStyle w:val="0"/>
        <w:jc w:val="both"/>
      </w:pPr>
      <w:r>
        <w:rPr>
          <w:sz w:val="20"/>
        </w:rPr>
      </w:r>
    </w:p>
    <w:p>
      <w:pPr>
        <w:pStyle w:val="0"/>
        <w:ind w:firstLine="540"/>
        <w:jc w:val="both"/>
      </w:pPr>
      <w:r>
        <w:rPr>
          <w:sz w:val="20"/>
        </w:rPr>
        <w:t xml:space="preserve">270. Кандидаты на получение медицинского заключения признаются не годными к обучению и работе при наличии паралича век и мышц, недостаточности и вывороте век (эктропион, энтропион), неправильном функционировании век, ухудшающем защиту глаза, лагофтальма, шрамах и сращениях век между собой, птоза (врожденного или приобретенного), приводящего к сужению поля зрения, язвенных блефаритах, злокачественных новообразованиях, доброкачественных опухолях, нарушающих функцию органа зрения и не подлежащих оперативному лечению.</w:t>
      </w:r>
    </w:p>
    <w:p>
      <w:pPr>
        <w:pStyle w:val="0"/>
        <w:spacing w:before="200" w:line-rule="auto"/>
        <w:ind w:firstLine="540"/>
        <w:jc w:val="both"/>
      </w:pPr>
      <w:r>
        <w:rPr>
          <w:sz w:val="20"/>
        </w:rPr>
        <w:t xml:space="preserve">271. Нерезко выраженные заболевания с такими редкими обострениями, как простые блефариты, врожденный птоз без нарушения зрительных функций (после консультации невролога), нерезко выраженные конъюнктивиты, небольшие бессимптомные и непрогрессирующие доброкачественные опухоли, невус конъюнктивы (стационарный), секторальный меланоз конъюнктивы, птеригиум (стационарный, без нарушения зрительных функций), рубцовые изменения век, не нарушающие функцию органа зрения, не являются дисквалифицирующим фактором. При наличии у кандидата на получение медицинского заключения онкологических образований кожи век (при благоприятном прогнозе, неосложненном послеоперационном течении, отсутствии метастатического поражения, отсутствии рецидива опухолевого роста) вопрос о допуске к работе рассматривается не ранее чем через 6 месяцев после окончательного излечения с обязательным представлением заключения онколога.</w:t>
      </w:r>
    </w:p>
    <w:p>
      <w:pPr>
        <w:pStyle w:val="0"/>
        <w:jc w:val="both"/>
      </w:pPr>
      <w:r>
        <w:rPr>
          <w:sz w:val="20"/>
        </w:rPr>
        <w:t xml:space="preserve">(в ред. </w:t>
      </w:r>
      <w:hyperlink w:history="0" r:id="rId16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2"/>
        <w:outlineLvl w:val="3"/>
        <w:jc w:val="center"/>
      </w:pPr>
      <w:r>
        <w:rPr>
          <w:sz w:val="20"/>
        </w:rPr>
        <w:t xml:space="preserve">Заболевания слезных органов и слезоотводящих путей</w:t>
      </w:r>
    </w:p>
    <w:p>
      <w:pPr>
        <w:pStyle w:val="0"/>
        <w:jc w:val="both"/>
      </w:pPr>
      <w:r>
        <w:rPr>
          <w:sz w:val="20"/>
        </w:rPr>
      </w:r>
    </w:p>
    <w:p>
      <w:pPr>
        <w:pStyle w:val="0"/>
        <w:ind w:firstLine="540"/>
        <w:jc w:val="both"/>
      </w:pPr>
      <w:r>
        <w:rPr>
          <w:sz w:val="20"/>
        </w:rPr>
        <w:t xml:space="preserve">272. Кандидаты на получение медицинского заключения признаются не годными к обучению и работе при наличии состояний слезных органов и слезоотводящих путей, связанных с нарушением слезоотведения.</w:t>
      </w:r>
    </w:p>
    <w:p>
      <w:pPr>
        <w:pStyle w:val="0"/>
        <w:spacing w:before="200" w:line-rule="auto"/>
        <w:ind w:firstLine="540"/>
        <w:jc w:val="both"/>
      </w:pPr>
      <w:r>
        <w:rPr>
          <w:sz w:val="20"/>
        </w:rPr>
        <w:t xml:space="preserve">273. К данным заболеваниям относятся: сужение, неправильное положение слезных точек; стриктура слезно-носовых канальцев; воспаление слезного мешка, слезной железы; травматические повреждения и другие заболевания, вызывающие слезотечение.</w:t>
      </w:r>
    </w:p>
    <w:p>
      <w:pPr>
        <w:pStyle w:val="0"/>
        <w:spacing w:before="200" w:line-rule="auto"/>
        <w:ind w:firstLine="540"/>
        <w:jc w:val="both"/>
      </w:pPr>
      <w:r>
        <w:rPr>
          <w:sz w:val="20"/>
        </w:rPr>
        <w:t xml:space="preserve">274. Состояния слезных органов и слезоотводящих путей без нарушения слезоотведения, восстановление функции слезоотведения, а также отсутствие нижней слезной точки при нормальной функции верхней слезной точки и канальцев (оцениваются канальцевая и носовая пробы) не являются дисквалифицирующим фактором при определении годности к работе.</w:t>
      </w:r>
    </w:p>
    <w:p>
      <w:pPr>
        <w:pStyle w:val="0"/>
        <w:spacing w:before="200" w:line-rule="auto"/>
        <w:ind w:firstLine="540"/>
        <w:jc w:val="both"/>
      </w:pPr>
      <w:r>
        <w:rPr>
          <w:sz w:val="20"/>
        </w:rPr>
        <w:t xml:space="preserve">275. После перенесенного острого заболевания - конъюнктивита, склерита, кератита, переднего увеита, а также после легкого повреждения глазного яблока заключение о допуске к летной работе выносится после выздоровления и прекращения лечения, так как некоторые глазные препараты могут приводить к ухудшению зрения. Следует учитывать первопричину.</w:t>
      </w:r>
    </w:p>
    <w:p>
      <w:pPr>
        <w:pStyle w:val="0"/>
        <w:spacing w:before="200" w:line-rule="auto"/>
        <w:ind w:firstLine="540"/>
        <w:jc w:val="both"/>
      </w:pPr>
      <w:r>
        <w:rPr>
          <w:sz w:val="20"/>
        </w:rPr>
        <w:t xml:space="preserve">276. При задних увеитах, длительно текущих, рецидивирующих иридоциклитах (должны быть приложены результаты системного обследования, следует учитывать первопричины заболевания), кератитах, хориоретинитах, невритах, травматических повреждениях глазного яблока с исходом выздоровления кандидаты на получение медицинского заключения подлежат лечению с последующим медицинским освидетельствованием.</w:t>
      </w:r>
    </w:p>
    <w:p>
      <w:pPr>
        <w:pStyle w:val="0"/>
        <w:spacing w:before="200" w:line-rule="auto"/>
        <w:ind w:firstLine="540"/>
        <w:jc w:val="both"/>
      </w:pPr>
      <w:r>
        <w:rPr>
          <w:sz w:val="20"/>
        </w:rPr>
        <w:t xml:space="preserve">277. Кандидаты на получение медицинского заключения должны быть признаны не годными к обучению и работе при наличии следующих заболеваний: отслойка сетчатки, дегенеративный ретиношизис, любые виды тапеторетинальной дегенерации сетчатки, окклюзия сосудов сетчатки, экссудативная форма возрастной макулярной дегенерации сетчатки, рецидивирующий кератит, рубцы роговицы, нарушающие зрительную функцию, эндокринная офтальмопатия, атрофия зрительного нерва любой этиологии, злокачественные новообразования глаза и его придаточного аппарата, дислокация хрусталика, патологический нистагм любой этиологии, наличие инородных тел в структурах глаза, никталопия.</w:t>
      </w:r>
    </w:p>
    <w:p>
      <w:pPr>
        <w:pStyle w:val="0"/>
        <w:spacing w:before="200" w:line-rule="auto"/>
        <w:ind w:firstLine="540"/>
        <w:jc w:val="both"/>
      </w:pPr>
      <w:r>
        <w:rPr>
          <w:sz w:val="20"/>
        </w:rPr>
        <w:t xml:space="preserve">278. Кандидаты на получение медицинского заключения с такими дегенеративными заболеваниями, как дистрофия роговицы, кератоконус, кератэктазия, могут быть обследованы ЦВЛЭК ГА. Экспертный подход определяется достаточной сохранностью зрительных функций, отсутствием прогрессирования процесса, сохранностью бинокулярного зрения.</w:t>
      </w:r>
    </w:p>
    <w:p>
      <w:pPr>
        <w:pStyle w:val="0"/>
        <w:jc w:val="both"/>
      </w:pPr>
      <w:r>
        <w:rPr>
          <w:sz w:val="20"/>
        </w:rPr>
      </w:r>
    </w:p>
    <w:p>
      <w:pPr>
        <w:pStyle w:val="2"/>
        <w:outlineLvl w:val="3"/>
        <w:jc w:val="center"/>
      </w:pPr>
      <w:r>
        <w:rPr>
          <w:sz w:val="20"/>
        </w:rPr>
        <w:t xml:space="preserve">Центральная серозная ретинопатия</w:t>
      </w:r>
    </w:p>
    <w:p>
      <w:pPr>
        <w:pStyle w:val="0"/>
        <w:jc w:val="both"/>
      </w:pPr>
      <w:r>
        <w:rPr>
          <w:sz w:val="20"/>
        </w:rPr>
      </w:r>
    </w:p>
    <w:p>
      <w:pPr>
        <w:pStyle w:val="0"/>
        <w:ind w:firstLine="540"/>
        <w:jc w:val="both"/>
      </w:pPr>
      <w:r>
        <w:rPr>
          <w:sz w:val="20"/>
        </w:rPr>
        <w:t xml:space="preserve">279. При наличии центральной серозной ретинопатии обладатели медицинского заключения должны быть признаны не годными к работе. Возможность восстановления к УВД рассматривается в случае, когда наступает стадия разрешения и стабилизации патологического процесса, при условии достаточной сохранности зрительных функций.</w:t>
      </w:r>
    </w:p>
    <w:p>
      <w:pPr>
        <w:pStyle w:val="0"/>
        <w:jc w:val="both"/>
      </w:pPr>
      <w:r>
        <w:rPr>
          <w:sz w:val="20"/>
        </w:rPr>
      </w:r>
    </w:p>
    <w:p>
      <w:pPr>
        <w:pStyle w:val="2"/>
        <w:outlineLvl w:val="3"/>
        <w:jc w:val="center"/>
      </w:pPr>
      <w:r>
        <w:rPr>
          <w:sz w:val="20"/>
        </w:rPr>
        <w:t xml:space="preserve">Отслойка сетчатки</w:t>
      </w:r>
    </w:p>
    <w:p>
      <w:pPr>
        <w:pStyle w:val="0"/>
        <w:jc w:val="both"/>
      </w:pPr>
      <w:r>
        <w:rPr>
          <w:sz w:val="20"/>
        </w:rPr>
      </w:r>
    </w:p>
    <w:p>
      <w:pPr>
        <w:pStyle w:val="0"/>
        <w:ind w:firstLine="540"/>
        <w:jc w:val="both"/>
      </w:pPr>
      <w:r>
        <w:rPr>
          <w:sz w:val="20"/>
        </w:rPr>
        <w:t xml:space="preserve">280. При наличии отслойки сетчатки кандидаты на получение медицинского заключения и обладатели свидетельства должны быть признаны не годными к работе. Возможность восстановления может быть рассмотрена ЦВЛЭК ГА при условии достаточной сохранности зрительных функций и сохранности периферического поля зрения. При наличии периферических разрывов сетчатки после успешного проведения лазерного лечения можно рассматривать вопрос о допуске к работе.</w:t>
      </w:r>
    </w:p>
    <w:p>
      <w:pPr>
        <w:pStyle w:val="0"/>
        <w:jc w:val="both"/>
      </w:pPr>
      <w:r>
        <w:rPr>
          <w:sz w:val="20"/>
        </w:rPr>
      </w:r>
    </w:p>
    <w:p>
      <w:pPr>
        <w:pStyle w:val="2"/>
        <w:outlineLvl w:val="3"/>
        <w:jc w:val="center"/>
      </w:pPr>
      <w:r>
        <w:rPr>
          <w:sz w:val="20"/>
        </w:rPr>
        <w:t xml:space="preserve">Друзы зрительного нерва</w:t>
      </w:r>
    </w:p>
    <w:p>
      <w:pPr>
        <w:pStyle w:val="0"/>
        <w:jc w:val="both"/>
      </w:pPr>
      <w:r>
        <w:rPr>
          <w:sz w:val="20"/>
        </w:rPr>
      </w:r>
    </w:p>
    <w:p>
      <w:pPr>
        <w:pStyle w:val="0"/>
        <w:ind w:firstLine="540"/>
        <w:jc w:val="both"/>
      </w:pPr>
      <w:r>
        <w:rPr>
          <w:sz w:val="20"/>
        </w:rPr>
        <w:t xml:space="preserve">281. Наличие друз зрительного нерва не является причиной негодности при условии приемлемой остроты зрения и сохранности периферического поля зрения у кандидата на получение медицинского заключения. Также кандидаты на получение медицинского заключения подлежат динамическому наблюдению в межкомиссионный период.</w:t>
      </w:r>
    </w:p>
    <w:p>
      <w:pPr>
        <w:pStyle w:val="0"/>
        <w:jc w:val="both"/>
      </w:pPr>
      <w:r>
        <w:rPr>
          <w:sz w:val="20"/>
        </w:rPr>
      </w:r>
    </w:p>
    <w:p>
      <w:pPr>
        <w:pStyle w:val="2"/>
        <w:outlineLvl w:val="3"/>
        <w:jc w:val="center"/>
      </w:pPr>
      <w:r>
        <w:rPr>
          <w:sz w:val="20"/>
        </w:rPr>
        <w:t xml:space="preserve">Заболевания глаз с достаточной сохранностью функции</w:t>
      </w:r>
    </w:p>
    <w:p>
      <w:pPr>
        <w:pStyle w:val="2"/>
        <w:jc w:val="center"/>
      </w:pPr>
      <w:r>
        <w:rPr>
          <w:sz w:val="20"/>
        </w:rPr>
        <w:t xml:space="preserve">органа зрения</w:t>
      </w:r>
    </w:p>
    <w:p>
      <w:pPr>
        <w:pStyle w:val="0"/>
        <w:jc w:val="both"/>
      </w:pPr>
      <w:r>
        <w:rPr>
          <w:sz w:val="20"/>
        </w:rPr>
      </w:r>
    </w:p>
    <w:p>
      <w:pPr>
        <w:pStyle w:val="0"/>
        <w:ind w:firstLine="540"/>
        <w:jc w:val="both"/>
      </w:pPr>
      <w:r>
        <w:rPr>
          <w:sz w:val="20"/>
        </w:rPr>
        <w:t xml:space="preserve">282. К данной группе относятся заболевания, соответствующие требованиям </w:t>
      </w:r>
      <w:hyperlink w:history="0" w:anchor="P3170" w:tooltip="267. Кандидаты на получение медицинского заключения 3 класса с патологическим снижением зрения на один глаз (ослабление центрального зрения) могут быть признаны годными к УВД при определенных условиях: бинокулярное зрение сохранено, второй глаз имеет остроту зрения вдаль 1.0 с коррекцией или без коррекции, достигает промежуточной остроты зрения (ближняя, средняя дистанции), лежащая в основе патология является приемлемой согласно офтальмологической оценке (острота зрения на худшем глазу не ниже 0.3 без ко...">
        <w:r>
          <w:rPr>
            <w:sz w:val="20"/>
            <w:color w:val="0000ff"/>
          </w:rPr>
          <w:t xml:space="preserve">пунктов 267</w:t>
        </w:r>
      </w:hyperlink>
      <w:r>
        <w:rPr>
          <w:sz w:val="20"/>
        </w:rPr>
        <w:t xml:space="preserve">, </w:t>
      </w:r>
      <w:hyperlink w:history="0" w:anchor="P3209" w:tooltip="283. За достаточную сохранность зрительных функций принимаются: острота зрения на худшем глазу не ниже 0.3 без коррекции (с коррекцией для лиц с ошибкой рефракции), нормальное поле зрения, темновая адаптация, устойчивое бинокулярное зрение. Зрительные функции другого глаза должны отвечать требованиям пунктов 255 - 260.">
        <w:r>
          <w:rPr>
            <w:sz w:val="20"/>
            <w:color w:val="0000ff"/>
          </w:rPr>
          <w:t xml:space="preserve">283</w:t>
        </w:r>
      </w:hyperlink>
      <w:r>
        <w:rPr>
          <w:sz w:val="20"/>
        </w:rPr>
        <w:t xml:space="preserve"> настоящего приложения, в том числе начальная катаракта, рубцы (помутнения) роговицы, не нарушающие зрительную функцию, невус хориоидеи (стационарный), атрофическая форма возрастной макулярной дегенерации сетчатки, доброкачественные формы периферической хориоретинальной дистрофии сетчатки (микрокистозная дегенерация, инеевидная дегенерация, дегенерация типа "булыжная мостовая", дегенерация типа "медовых сот", друзы, пигментная дегенерация зубчатой линии).</w:t>
      </w:r>
    </w:p>
    <w:p>
      <w:pPr>
        <w:pStyle w:val="0"/>
        <w:spacing w:before="200" w:line-rule="auto"/>
        <w:ind w:firstLine="540"/>
        <w:jc w:val="both"/>
      </w:pPr>
      <w:r>
        <w:rPr>
          <w:sz w:val="20"/>
        </w:rPr>
        <w:t xml:space="preserve">Доброкачественные формы дегенерации сетчатки не требуют профилактического оперативного лечения.</w:t>
      </w:r>
    </w:p>
    <w:p>
      <w:pPr>
        <w:pStyle w:val="0"/>
        <w:spacing w:before="200" w:line-rule="auto"/>
        <w:ind w:firstLine="540"/>
        <w:jc w:val="both"/>
      </w:pPr>
      <w:r>
        <w:rPr>
          <w:sz w:val="20"/>
        </w:rPr>
        <w:t xml:space="preserve">Прогностически опасные виды периферической хориоретинальной дистрофии сетчатки (регматогенные) (решетчатая дегенерация, дегенерация типа "след улитки", дегенерация с истончением сетчатки, а также дегенерация сетчатки с витреоретинальной тракцией) требуют проведения профилактического оперативного (лазерного) лечения, с последующим динамическим наблюдением.</w:t>
      </w:r>
    </w:p>
    <w:p>
      <w:pPr>
        <w:pStyle w:val="0"/>
        <w:jc w:val="both"/>
      </w:pPr>
      <w:r>
        <w:rPr>
          <w:sz w:val="20"/>
        </w:rPr>
        <w:t xml:space="preserve">(п. 282 в ред. </w:t>
      </w:r>
      <w:hyperlink w:history="0" r:id="rId16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3209" w:name="P3209"/>
    <w:bookmarkEnd w:id="3209"/>
    <w:p>
      <w:pPr>
        <w:pStyle w:val="0"/>
        <w:spacing w:before="200" w:line-rule="auto"/>
        <w:ind w:firstLine="540"/>
        <w:jc w:val="both"/>
      </w:pPr>
      <w:r>
        <w:rPr>
          <w:sz w:val="20"/>
        </w:rPr>
        <w:t xml:space="preserve">283. За достаточную сохранность зрительных функций принимаются: острота зрения на худшем глазу не ниже 0.3 без коррекции (с коррекцией для лиц с ошибкой рефракции), нормальное поле зрения, темновая адаптация, устойчивое бинокулярное зрение. Зрительные функции другого глаза должны отвечать требованиям </w:t>
      </w:r>
      <w:hyperlink w:history="0" w:anchor="P3143" w:tooltip="255. Кандидаты на получение медицинского заключения должны быть признаны не годными к обучению и работе при отсутствии нормальной бинокулярной функции, отсутствии нормального поля зрения, наличии диплопии. Решение о годности возможно после офтальмологического обследования ЦВЛЭК ГА с выдачей официального медицинского заключения.">
        <w:r>
          <w:rPr>
            <w:sz w:val="20"/>
            <w:color w:val="0000ff"/>
          </w:rPr>
          <w:t xml:space="preserve">пунктов 255</w:t>
        </w:r>
      </w:hyperlink>
      <w:r>
        <w:rPr>
          <w:sz w:val="20"/>
        </w:rPr>
        <w:t xml:space="preserve"> - </w:t>
      </w:r>
      <w:hyperlink w:history="0" w:anchor="P3150" w:tooltip="260. Кандидаты на получение медицинского заключения должны иметь легкодоступные запасные корригирующие очки, которые обеспечивают оптимальную зрительную функцию, удобные и подходящие для выполнения профессиональных обязанностей.">
        <w:r>
          <w:rPr>
            <w:sz w:val="20"/>
            <w:color w:val="0000ff"/>
          </w:rPr>
          <w:t xml:space="preserve">260</w:t>
        </w:r>
      </w:hyperlink>
      <w:r>
        <w:rPr>
          <w:sz w:val="20"/>
        </w:rPr>
        <w:t xml:space="preserve">.</w:t>
      </w:r>
    </w:p>
    <w:p>
      <w:pPr>
        <w:pStyle w:val="0"/>
        <w:spacing w:before="200" w:line-rule="auto"/>
        <w:ind w:firstLine="540"/>
        <w:jc w:val="both"/>
      </w:pPr>
      <w:r>
        <w:rPr>
          <w:sz w:val="20"/>
        </w:rPr>
        <w:t xml:space="preserve">284. Врожденные отложения единичного мелкого пигмента на капсуле хрусталика, остатки артерии стекловидного тела, миелиновые волокна ДЗН, сетчатки не являются препятствием для поступления в учебные заведения ГА.</w:t>
      </w:r>
    </w:p>
    <w:p>
      <w:pPr>
        <w:pStyle w:val="0"/>
        <w:spacing w:before="200" w:line-rule="auto"/>
        <w:ind w:firstLine="540"/>
        <w:jc w:val="both"/>
      </w:pPr>
      <w:r>
        <w:rPr>
          <w:sz w:val="20"/>
        </w:rPr>
        <w:t xml:space="preserve">285. Ложная крыловидная плева, пингвекула, небольшой халязион,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к получению медицинского заключения.</w:t>
      </w:r>
    </w:p>
    <w:p>
      <w:pPr>
        <w:pStyle w:val="0"/>
        <w:spacing w:before="200" w:line-rule="auto"/>
        <w:ind w:firstLine="540"/>
        <w:jc w:val="both"/>
      </w:pPr>
      <w:r>
        <w:rPr>
          <w:sz w:val="20"/>
        </w:rPr>
        <w:t xml:space="preserve">286. Врожденные колобомы радужки и сосудистой оболочки, поликория, врожденные катаракты, с нарушением зрительных функций, оптиконейропатия являются причинами недопуска к обучению кандидатов на получение медицинского заключения впервые (поступающие в учебные заведения ГА/обучающиеся в учебных заведениях ГА).</w:t>
      </w:r>
    </w:p>
    <w:p>
      <w:pPr>
        <w:pStyle w:val="0"/>
        <w:jc w:val="both"/>
      </w:pPr>
      <w:r>
        <w:rPr>
          <w:sz w:val="20"/>
        </w:rPr>
      </w:r>
    </w:p>
    <w:p>
      <w:pPr>
        <w:pStyle w:val="2"/>
        <w:outlineLvl w:val="3"/>
        <w:jc w:val="center"/>
      </w:pPr>
      <w:r>
        <w:rPr>
          <w:sz w:val="20"/>
        </w:rPr>
        <w:t xml:space="preserve">Хирургия</w:t>
      </w:r>
    </w:p>
    <w:p>
      <w:pPr>
        <w:pStyle w:val="0"/>
        <w:jc w:val="both"/>
      </w:pPr>
      <w:r>
        <w:rPr>
          <w:sz w:val="20"/>
        </w:rPr>
      </w:r>
    </w:p>
    <w:p>
      <w:pPr>
        <w:pStyle w:val="0"/>
        <w:ind w:firstLine="540"/>
        <w:jc w:val="both"/>
      </w:pPr>
      <w:r>
        <w:rPr>
          <w:sz w:val="20"/>
        </w:rPr>
        <w:t xml:space="preserve">287. Кандидаты на получение медицинского заключения, перенесшие интракапсулярную экстракцию катаракты с имплантацией интраокулярной линзы, признаются не годными к работе.</w:t>
      </w:r>
    </w:p>
    <w:p>
      <w:pPr>
        <w:pStyle w:val="0"/>
        <w:spacing w:before="200" w:line-rule="auto"/>
        <w:ind w:firstLine="540"/>
        <w:jc w:val="both"/>
      </w:pPr>
      <w:r>
        <w:rPr>
          <w:sz w:val="20"/>
        </w:rPr>
        <w:t xml:space="preserve">288. Допуск к работе обладателей медицинского заключения 3 класса после проведения экстракапсулярной экстракции катаракты с имплантацией интраокулярной линзы (факоэмульсификация катаракты с имплантацией интраокулярной линзы (далее - ИОЛ): ультразвуковая, лазерная), включая операцию на оба глаза, осуществляется через 2 недели после проведенной операции (Z96.1). Решение выносится после полного восстановления, отмены лекарственных препаратов при стабилизации зрительных функций и при отсутствии послеоперационных осложнений. Обследование должно быть полным и включать обследование дальней периферии сетчатки, определение темновой адаптации, контрастной чувствительности и чувствительности к ослеплению.</w:t>
      </w:r>
    </w:p>
    <w:p>
      <w:pPr>
        <w:pStyle w:val="0"/>
        <w:jc w:val="both"/>
      </w:pPr>
      <w:r>
        <w:rPr>
          <w:sz w:val="20"/>
        </w:rPr>
        <w:t xml:space="preserve">(в ред. </w:t>
      </w:r>
      <w:hyperlink w:history="0" r:id="rId16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289. Медицинским учреждением, проводившим оперативное лечение, должен быть представлен отчет о проведенной манипуляции. Данный документ должен включать: дату и тип проведенной операции, предоперационную рефракцию и детали любых осложнений (или заключение об отсутствии осложнений).</w:t>
      </w:r>
    </w:p>
    <w:p>
      <w:pPr>
        <w:pStyle w:val="0"/>
        <w:spacing w:before="200" w:line-rule="auto"/>
        <w:ind w:firstLine="540"/>
        <w:jc w:val="both"/>
      </w:pPr>
      <w:r>
        <w:rPr>
          <w:sz w:val="20"/>
        </w:rPr>
        <w:t xml:space="preserve">290. После лазерных оперативных вмешательств на сетчатке вопрос о допуске к работе решается через 2 недели после операции (лазерная коагуляция сетчатки) с учетом степени сохранности зрительных функций.</w:t>
      </w:r>
    </w:p>
    <w:p>
      <w:pPr>
        <w:pStyle w:val="0"/>
        <w:spacing w:before="200" w:line-rule="auto"/>
        <w:ind w:firstLine="540"/>
        <w:jc w:val="both"/>
      </w:pPr>
      <w:r>
        <w:rPr>
          <w:sz w:val="20"/>
        </w:rPr>
        <w:t xml:space="preserve">291. Кандидат на получение медицинского заключения, перенесший рефракционную операцию по поводу аномалии рефракции, может быть оценен как годный к обучению и работе при следующих условиях:</w:t>
      </w:r>
    </w:p>
    <w:p>
      <w:pPr>
        <w:pStyle w:val="0"/>
        <w:spacing w:before="200" w:line-rule="auto"/>
        <w:ind w:firstLine="540"/>
        <w:jc w:val="both"/>
      </w:pPr>
      <w:r>
        <w:rPr>
          <w:sz w:val="20"/>
        </w:rPr>
        <w:t xml:space="preserve">1) предоперационная рефракция не превышала +4.0D/ -6.0D, cyl +/- 2.5D.</w:t>
      </w:r>
    </w:p>
    <w:p>
      <w:pPr>
        <w:pStyle w:val="0"/>
        <w:spacing w:before="200" w:line-rule="auto"/>
        <w:ind w:firstLine="540"/>
        <w:jc w:val="both"/>
      </w:pPr>
      <w:r>
        <w:rPr>
          <w:sz w:val="20"/>
        </w:rPr>
        <w:t xml:space="preserve">У кандидатов к получению свидетельства впервые (при поступлении в учебные заведения ГА) предоперационная рефракция не должна превышать +4.0D/-4.0D, cyl +/- 1.5D);</w:t>
      </w:r>
    </w:p>
    <w:p>
      <w:pPr>
        <w:pStyle w:val="0"/>
        <w:jc w:val="both"/>
      </w:pPr>
      <w:r>
        <w:rPr>
          <w:sz w:val="20"/>
        </w:rPr>
        <w:t xml:space="preserve">(в ред. </w:t>
      </w:r>
      <w:hyperlink w:history="0" r:id="rId16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 операция прошла без осложнений;</w:t>
      </w:r>
    </w:p>
    <w:p>
      <w:pPr>
        <w:pStyle w:val="0"/>
        <w:spacing w:before="200" w:line-rule="auto"/>
        <w:ind w:firstLine="540"/>
        <w:jc w:val="both"/>
      </w:pPr>
      <w:r>
        <w:rPr>
          <w:sz w:val="20"/>
        </w:rPr>
        <w:t xml:space="preserve">3) зрительные функции стабилизировались (послеоперационная стабильность рефракции может варьироваться не более 0,75D в дневное время);</w:t>
      </w:r>
    </w:p>
    <w:p>
      <w:pPr>
        <w:pStyle w:val="0"/>
        <w:spacing w:before="200" w:line-rule="auto"/>
        <w:ind w:firstLine="540"/>
        <w:jc w:val="both"/>
      </w:pPr>
      <w:r>
        <w:rPr>
          <w:sz w:val="20"/>
        </w:rPr>
        <w:t xml:space="preserve">4) отсутствие грубых рубцов (помутнений) на роговице. Отсутствие грубых патологических изменений на глазном дне, которые могут привести к развитию отдаленных осложнений, в том числе и отслоению сетчатки;</w:t>
      </w:r>
    </w:p>
    <w:p>
      <w:pPr>
        <w:pStyle w:val="0"/>
        <w:spacing w:before="200" w:line-rule="auto"/>
        <w:ind w:firstLine="540"/>
        <w:jc w:val="both"/>
      </w:pPr>
      <w:r>
        <w:rPr>
          <w:sz w:val="20"/>
        </w:rPr>
        <w:t xml:space="preserve">5) отсутствие жалоб на фотопсии ("блики", "ореолы");</w:t>
      </w:r>
    </w:p>
    <w:p>
      <w:pPr>
        <w:pStyle w:val="0"/>
        <w:spacing w:before="200" w:line-rule="auto"/>
        <w:ind w:firstLine="540"/>
        <w:jc w:val="both"/>
      </w:pPr>
      <w:r>
        <w:rPr>
          <w:sz w:val="20"/>
        </w:rPr>
        <w:t xml:space="preserve">6) достигнутые результаты соответствуют допустимым показателям рефракции (по соответствующим классам освидетельствования);</w:t>
      </w:r>
    </w:p>
    <w:p>
      <w:pPr>
        <w:pStyle w:val="0"/>
        <w:spacing w:before="200" w:line-rule="auto"/>
        <w:ind w:firstLine="540"/>
        <w:jc w:val="both"/>
      </w:pPr>
      <w:r>
        <w:rPr>
          <w:sz w:val="20"/>
        </w:rPr>
        <w:t xml:space="preserve">7) результаты оценки темновой адаптации, контрастной чувствительности, чувствительности к ослеплению удовлетворительные;</w:t>
      </w:r>
    </w:p>
    <w:p>
      <w:pPr>
        <w:pStyle w:val="0"/>
        <w:spacing w:before="200" w:line-rule="auto"/>
        <w:ind w:firstLine="540"/>
        <w:jc w:val="both"/>
      </w:pPr>
      <w:r>
        <w:rPr>
          <w:sz w:val="20"/>
        </w:rPr>
        <w:t xml:space="preserve">8) подлежит динамическому наблюдению;</w:t>
      </w:r>
    </w:p>
    <w:p>
      <w:pPr>
        <w:pStyle w:val="0"/>
        <w:spacing w:before="200" w:line-rule="auto"/>
        <w:ind w:firstLine="540"/>
        <w:jc w:val="both"/>
      </w:pPr>
      <w:r>
        <w:rPr>
          <w:sz w:val="20"/>
        </w:rPr>
        <w:t xml:space="preserve">9) медицинским учреждением, проводившим оперативное лечение, должен быть предоставлен отчет о проведенной манипуляции. Данный документ должен включать: даты и тип проведенной операции, предоперационную рефракцию и детали любых осложнений (или заключение об отсутствии осложнений).</w:t>
      </w:r>
    </w:p>
    <w:p>
      <w:pPr>
        <w:pStyle w:val="0"/>
        <w:spacing w:before="200" w:line-rule="auto"/>
        <w:ind w:firstLine="540"/>
        <w:jc w:val="both"/>
      </w:pPr>
      <w:r>
        <w:rPr>
          <w:sz w:val="20"/>
        </w:rPr>
        <w:t xml:space="preserve">292. При ФРК (фоторефракционной кератэктомии) вопрос о допуске решается не ранее чем через 3 месяца после проведенной операции (от 3 до 6 месяцев).</w:t>
      </w:r>
    </w:p>
    <w:p>
      <w:pPr>
        <w:pStyle w:val="0"/>
        <w:spacing w:before="200" w:line-rule="auto"/>
        <w:ind w:firstLine="540"/>
        <w:jc w:val="both"/>
      </w:pPr>
      <w:r>
        <w:rPr>
          <w:sz w:val="20"/>
        </w:rPr>
        <w:t xml:space="preserve">При лазерном in-situ - кератомилезе вопрос о допуске к работе решается через 4 недели после проведенной операции.</w:t>
      </w:r>
    </w:p>
    <w:p>
      <w:pPr>
        <w:pStyle w:val="0"/>
        <w:spacing w:before="200" w:line-rule="auto"/>
        <w:ind w:firstLine="540"/>
        <w:jc w:val="both"/>
      </w:pPr>
      <w:r>
        <w:rPr>
          <w:sz w:val="20"/>
        </w:rPr>
        <w:t xml:space="preserve">293. При других процедурах оценка состояния здоровья кандидата на получение медицинского заключения проводится после полного восстановления.</w:t>
      </w:r>
    </w:p>
    <w:p>
      <w:pPr>
        <w:pStyle w:val="0"/>
        <w:spacing w:before="200" w:line-rule="auto"/>
        <w:ind w:firstLine="540"/>
        <w:jc w:val="both"/>
      </w:pPr>
      <w:r>
        <w:rPr>
          <w:sz w:val="20"/>
        </w:rPr>
        <w:t xml:space="preserve">294. Медицинским учреждением, проводившим оперативное лечение, представлен отчет о проведенной манипуляции. Данный отчет должен включать полную информацию о проведенном и текущем лечении, послеоперационной остроте зрения, отсутствии/наличии послеоперационных осложнений, протокол исследования периферического поля зрения.</w:t>
      </w:r>
    </w:p>
    <w:p>
      <w:pPr>
        <w:pStyle w:val="0"/>
        <w:jc w:val="both"/>
      </w:pPr>
      <w:r>
        <w:rPr>
          <w:sz w:val="20"/>
        </w:rPr>
      </w:r>
    </w:p>
    <w:p>
      <w:pPr>
        <w:pStyle w:val="2"/>
        <w:outlineLvl w:val="3"/>
        <w:jc w:val="center"/>
      </w:pPr>
      <w:r>
        <w:rPr>
          <w:sz w:val="20"/>
        </w:rPr>
        <w:t xml:space="preserve">Глаукома (H40 - H42)</w:t>
      </w:r>
    </w:p>
    <w:p>
      <w:pPr>
        <w:pStyle w:val="0"/>
        <w:jc w:val="both"/>
      </w:pPr>
      <w:r>
        <w:rPr>
          <w:sz w:val="20"/>
        </w:rPr>
      </w:r>
    </w:p>
    <w:p>
      <w:pPr>
        <w:pStyle w:val="0"/>
        <w:ind w:firstLine="540"/>
        <w:jc w:val="both"/>
      </w:pPr>
      <w:r>
        <w:rPr>
          <w:sz w:val="20"/>
        </w:rPr>
        <w:t xml:space="preserve">295. При подозрении на наличие глаукомы проводится дополнительное обследование в специализированном учреждении или отделении. Установленный диагноз "глаукома" требует назначения лечения.</w:t>
      </w:r>
    </w:p>
    <w:p>
      <w:pPr>
        <w:pStyle w:val="0"/>
        <w:spacing w:before="200" w:line-rule="auto"/>
        <w:ind w:firstLine="540"/>
        <w:jc w:val="both"/>
      </w:pPr>
      <w:r>
        <w:rPr>
          <w:sz w:val="20"/>
        </w:rPr>
        <w:t xml:space="preserve">296. Лица с установленным диагнозом отстраняются от работы не менее чем на 1 месяц для проведения лечебно-оздоровительных мероприятий и наблюдения. Методы терапевтического лечения определяются в индивидуальном порядке.</w:t>
      </w:r>
    </w:p>
    <w:p>
      <w:pPr>
        <w:pStyle w:val="0"/>
        <w:spacing w:before="200" w:line-rule="auto"/>
        <w:ind w:firstLine="540"/>
        <w:jc w:val="both"/>
      </w:pPr>
      <w:r>
        <w:rPr>
          <w:sz w:val="20"/>
        </w:rPr>
        <w:t xml:space="preserve">297. Диспетчеры УВД с диагнозом "первичная открытоугольная глаукома с компенсированным внутриглазным давлением (далее - ВГД)", которая эффективно контролируется с помощью медицинских препаратов, не вызывающих серьезных побочных эффектов, с удовлетворительными показателями остроты зрения и полей зрения могут быть признаны годными к работе с ежеквартальным контролем ВГД и полугодовым осмотром врачом-офтальмологом ВЛЭК ГА.</w:t>
      </w:r>
    </w:p>
    <w:p>
      <w:pPr>
        <w:pStyle w:val="0"/>
        <w:spacing w:before="200" w:line-rule="auto"/>
        <w:ind w:firstLine="540"/>
        <w:jc w:val="both"/>
      </w:pPr>
      <w:r>
        <w:rPr>
          <w:sz w:val="20"/>
        </w:rPr>
        <w:t xml:space="preserve">298. Лица с доброкачественной внуриглазной гипертензией от работы не отстраняются.</w:t>
      </w:r>
    </w:p>
    <w:p>
      <w:pPr>
        <w:pStyle w:val="0"/>
        <w:jc w:val="both"/>
      </w:pPr>
      <w:r>
        <w:rPr>
          <w:sz w:val="20"/>
        </w:rPr>
      </w:r>
    </w:p>
    <w:p>
      <w:pPr>
        <w:pStyle w:val="2"/>
        <w:outlineLvl w:val="3"/>
        <w:jc w:val="center"/>
      </w:pPr>
      <w:r>
        <w:rPr>
          <w:sz w:val="20"/>
        </w:rPr>
        <w:t xml:space="preserve">Хирургия глаукомы</w:t>
      </w:r>
    </w:p>
    <w:p>
      <w:pPr>
        <w:pStyle w:val="0"/>
        <w:jc w:val="both"/>
      </w:pPr>
      <w:r>
        <w:rPr>
          <w:sz w:val="20"/>
        </w:rPr>
      </w:r>
    </w:p>
    <w:p>
      <w:pPr>
        <w:pStyle w:val="0"/>
        <w:ind w:firstLine="540"/>
        <w:jc w:val="both"/>
      </w:pPr>
      <w:r>
        <w:rPr>
          <w:sz w:val="20"/>
        </w:rPr>
        <w:t xml:space="preserve">299. Вопрос о допуске к работе решается после трабекулэктомии (или антиглаукоматозной операции с использованием дренажных систем) не ранее чем через 3 месяца после проведенной операции. После других процедур - оценка после полного восстановления.</w:t>
      </w:r>
    </w:p>
    <w:p>
      <w:pPr>
        <w:pStyle w:val="0"/>
        <w:spacing w:before="200" w:line-rule="auto"/>
        <w:ind w:firstLine="540"/>
        <w:jc w:val="both"/>
      </w:pPr>
      <w:r>
        <w:rPr>
          <w:sz w:val="20"/>
        </w:rPr>
        <w:t xml:space="preserve">300. Медицинским учреждением, проводившим оперативное лечение, должен быть представлен отчет о проведенной манипуляции. Данный отчет должен включать полную информацию о проведенном и текущем лечении, послеоперационной остроте зрения, отсутствии/наличии послеоперационных осложнений, протокол исследования периферического поля зрения.</w:t>
      </w:r>
    </w:p>
    <w:p>
      <w:pPr>
        <w:pStyle w:val="0"/>
        <w:jc w:val="both"/>
      </w:pPr>
      <w:r>
        <w:rPr>
          <w:sz w:val="20"/>
        </w:rPr>
      </w:r>
    </w:p>
    <w:p>
      <w:pPr>
        <w:pStyle w:val="2"/>
        <w:outlineLvl w:val="3"/>
        <w:jc w:val="center"/>
      </w:pPr>
      <w:r>
        <w:rPr>
          <w:sz w:val="20"/>
        </w:rPr>
        <w:t xml:space="preserve">Бинокулярные функции. Гетерофория, гетеротропия (H49 - H51)</w:t>
      </w:r>
    </w:p>
    <w:p>
      <w:pPr>
        <w:pStyle w:val="0"/>
        <w:jc w:val="both"/>
      </w:pPr>
      <w:r>
        <w:rPr>
          <w:sz w:val="20"/>
        </w:rPr>
      </w:r>
    </w:p>
    <w:p>
      <w:pPr>
        <w:pStyle w:val="0"/>
        <w:ind w:firstLine="540"/>
        <w:jc w:val="both"/>
      </w:pPr>
      <w:r>
        <w:rPr>
          <w:sz w:val="20"/>
        </w:rPr>
        <w:t xml:space="preserve">301. Кандидаты на получение медицинского заключения должны иметь полную сохранность бинокулярных функций.</w:t>
      </w:r>
    </w:p>
    <w:p>
      <w:pPr>
        <w:pStyle w:val="0"/>
        <w:spacing w:before="200" w:line-rule="auto"/>
        <w:ind w:firstLine="540"/>
        <w:jc w:val="both"/>
      </w:pPr>
      <w:r>
        <w:rPr>
          <w:sz w:val="20"/>
        </w:rPr>
        <w:t xml:space="preserve">302. При каждом медицинском освидетельствовании исследуется сохранность бинокулярного зрения.</w:t>
      </w:r>
    </w:p>
    <w:p>
      <w:pPr>
        <w:pStyle w:val="0"/>
        <w:spacing w:before="200" w:line-rule="auto"/>
        <w:ind w:firstLine="540"/>
        <w:jc w:val="both"/>
      </w:pPr>
      <w:r>
        <w:rPr>
          <w:sz w:val="20"/>
        </w:rPr>
        <w:t xml:space="preserve">303. Бинокулярная функция. Кандидаты к получению медицинского заключения с гетерофорией, превышающей представленные ниже показатели, будут считаться не годными к обучению и работе:</w:t>
      </w:r>
    </w:p>
    <w:p>
      <w:pPr>
        <w:pStyle w:val="0"/>
        <w:spacing w:before="200" w:line-rule="auto"/>
        <w:ind w:firstLine="540"/>
        <w:jc w:val="both"/>
      </w:pPr>
      <w:r>
        <w:rPr>
          <w:sz w:val="20"/>
        </w:rPr>
        <w:t xml:space="preserve">1) расстояние 6 метров:</w:t>
      </w:r>
    </w:p>
    <w:p>
      <w:pPr>
        <w:pStyle w:val="0"/>
        <w:spacing w:before="200" w:line-rule="auto"/>
        <w:ind w:firstLine="540"/>
        <w:jc w:val="both"/>
      </w:pPr>
      <w:r>
        <w:rPr>
          <w:sz w:val="20"/>
        </w:rPr>
        <w:t xml:space="preserve">- 2.0 призменных D по вертикали (1 градус);</w:t>
      </w:r>
    </w:p>
    <w:p>
      <w:pPr>
        <w:pStyle w:val="0"/>
        <w:spacing w:before="200" w:line-rule="auto"/>
        <w:ind w:firstLine="540"/>
        <w:jc w:val="both"/>
      </w:pPr>
      <w:r>
        <w:rPr>
          <w:sz w:val="20"/>
        </w:rPr>
        <w:t xml:space="preserve">- 10 призменных D при эзофории (5 градусов);</w:t>
      </w:r>
    </w:p>
    <w:p>
      <w:pPr>
        <w:pStyle w:val="0"/>
        <w:spacing w:before="200" w:line-rule="auto"/>
        <w:ind w:firstLine="540"/>
        <w:jc w:val="both"/>
      </w:pPr>
      <w:r>
        <w:rPr>
          <w:sz w:val="20"/>
        </w:rPr>
        <w:t xml:space="preserve">- 8.0 призменных D при экзофории (4 градуса);</w:t>
      </w:r>
    </w:p>
    <w:p>
      <w:pPr>
        <w:pStyle w:val="0"/>
        <w:spacing w:before="200" w:line-rule="auto"/>
        <w:ind w:firstLine="540"/>
        <w:jc w:val="both"/>
      </w:pPr>
      <w:r>
        <w:rPr>
          <w:sz w:val="20"/>
        </w:rPr>
        <w:t xml:space="preserve">2) расстояние 33 см:</w:t>
      </w:r>
    </w:p>
    <w:p>
      <w:pPr>
        <w:pStyle w:val="0"/>
        <w:spacing w:before="200" w:line-rule="auto"/>
        <w:ind w:firstLine="540"/>
        <w:jc w:val="both"/>
      </w:pPr>
      <w:r>
        <w:rPr>
          <w:sz w:val="20"/>
        </w:rPr>
        <w:t xml:space="preserve">- 1.0 призменный D по вертикали (0);</w:t>
      </w:r>
    </w:p>
    <w:p>
      <w:pPr>
        <w:pStyle w:val="0"/>
        <w:spacing w:before="200" w:line-rule="auto"/>
        <w:ind w:firstLine="540"/>
        <w:jc w:val="both"/>
      </w:pPr>
      <w:r>
        <w:rPr>
          <w:sz w:val="20"/>
        </w:rPr>
        <w:t xml:space="preserve">- 8.0 призменных D при эзофории (4 градуса);</w:t>
      </w:r>
    </w:p>
    <w:p>
      <w:pPr>
        <w:pStyle w:val="0"/>
        <w:spacing w:before="200" w:line-rule="auto"/>
        <w:ind w:firstLine="540"/>
        <w:jc w:val="both"/>
      </w:pPr>
      <w:r>
        <w:rPr>
          <w:sz w:val="20"/>
        </w:rPr>
        <w:t xml:space="preserve">- 12 призменных D при экзофории (6 градусов).</w:t>
      </w:r>
    </w:p>
    <w:p>
      <w:pPr>
        <w:pStyle w:val="0"/>
        <w:spacing w:before="200" w:line-rule="auto"/>
        <w:ind w:firstLine="540"/>
        <w:jc w:val="both"/>
      </w:pPr>
      <w:r>
        <w:rPr>
          <w:sz w:val="20"/>
        </w:rPr>
        <w:t xml:space="preserve">304. Кандидаты на получение медицинской справки с наличием гетеротропии (косоглазие) должны быть признаны не годными к обучению и работе.</w:t>
      </w:r>
    </w:p>
    <w:p>
      <w:pPr>
        <w:pStyle w:val="0"/>
        <w:spacing w:before="200" w:line-rule="auto"/>
        <w:ind w:firstLine="540"/>
        <w:jc w:val="both"/>
      </w:pPr>
      <w:r>
        <w:rPr>
          <w:sz w:val="20"/>
        </w:rPr>
        <w:t xml:space="preserve">305. Вопрос о годности после проведенного хирургического лечения косоглазия рассматривается не ранее чем через 3 месяца после операции и при удовлетворительной офтальмологической оценке.</w:t>
      </w:r>
    </w:p>
    <w:p>
      <w:pPr>
        <w:pStyle w:val="0"/>
        <w:jc w:val="both"/>
      </w:pPr>
      <w:r>
        <w:rPr>
          <w:sz w:val="20"/>
        </w:rPr>
      </w:r>
    </w:p>
    <w:p>
      <w:pPr>
        <w:pStyle w:val="2"/>
        <w:outlineLvl w:val="2"/>
        <w:jc w:val="center"/>
      </w:pPr>
      <w:r>
        <w:rPr>
          <w:sz w:val="20"/>
        </w:rPr>
        <w:t xml:space="preserve">XV. Оториноларингология</w:t>
      </w:r>
    </w:p>
    <w:p>
      <w:pPr>
        <w:pStyle w:val="0"/>
        <w:jc w:val="both"/>
      </w:pPr>
      <w:r>
        <w:rPr>
          <w:sz w:val="20"/>
        </w:rPr>
      </w:r>
    </w:p>
    <w:p>
      <w:pPr>
        <w:pStyle w:val="0"/>
        <w:ind w:firstLine="540"/>
        <w:jc w:val="both"/>
      </w:pPr>
      <w:r>
        <w:rPr>
          <w:sz w:val="20"/>
        </w:rPr>
        <w:t xml:space="preserve">306. Кандидаты на получение медицинского заключения не должны иметь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предусмотренных соответствующим свидетельством (C00 - C14; C30 - C32; D10; D14; D36.1; F80.0; F98.5; F98.6; H60 - H95; J00 - J06; J30 - J39; K00 - K14; Q16; Q35 - Q37; R47 - R49; S00 - S09).</w:t>
      </w:r>
    </w:p>
    <w:p>
      <w:pPr>
        <w:pStyle w:val="0"/>
        <w:spacing w:before="200" w:line-rule="auto"/>
        <w:ind w:firstLine="540"/>
        <w:jc w:val="both"/>
      </w:pPr>
      <w:r>
        <w:rPr>
          <w:sz w:val="20"/>
        </w:rPr>
        <w:t xml:space="preserve">307. Кандидаты на получение медицинского заключения должны правильно понимать разговорную речь при тестировании на каждое ухо отдельно с расстояния не менее 2 метров от спины заявителя до исследователя.</w:t>
      </w:r>
    </w:p>
    <w:p>
      <w:pPr>
        <w:pStyle w:val="0"/>
        <w:spacing w:before="200" w:line-rule="auto"/>
        <w:ind w:firstLine="540"/>
        <w:jc w:val="both"/>
      </w:pPr>
      <w:r>
        <w:rPr>
          <w:sz w:val="20"/>
        </w:rPr>
        <w:t xml:space="preserve">308. Кандидаты на получение медицинского заключения с потерей слуха свыше возрастной физиологической нормы, но не более 35 дБ на любой из частот 0,5 кГц, 1 кГц, 2 кГц и не более 50 дБ на частоте 3 кГц в любом ухе признаются годными к обучению и работе (H90 - H91).</w:t>
      </w:r>
    </w:p>
    <w:p>
      <w:pPr>
        <w:pStyle w:val="0"/>
        <w:spacing w:before="200" w:line-rule="auto"/>
        <w:ind w:firstLine="540"/>
        <w:jc w:val="both"/>
      </w:pPr>
      <w:r>
        <w:rPr>
          <w:sz w:val="20"/>
        </w:rPr>
        <w:t xml:space="preserve">309. Кандидаты на получение медицинского заключения с потерей слуха более 35 дБ на любой из частот 0,5 кГц, 1 кГц, 2 кГц и более 50 дБ на частоте 3 кГц в любом ухе могут быть признаны годными к обучению и работе при благоприятном течении заболевания (H90 - H91) и динамическом наблюдении в межкомиссионный период.</w:t>
      </w:r>
    </w:p>
    <w:p>
      <w:pPr>
        <w:pStyle w:val="0"/>
        <w:spacing w:before="200" w:line-rule="auto"/>
        <w:ind w:firstLine="540"/>
        <w:jc w:val="both"/>
      </w:pPr>
      <w:r>
        <w:rPr>
          <w:sz w:val="20"/>
        </w:rPr>
        <w:t xml:space="preserve">310. Если требования к слуху могут быть удовлетворены только с использованием слуховых аппаратов, то они должны обеспечивать оптимальную функцию слуха, быть хорошо переносимыми.</w:t>
      </w:r>
    </w:p>
    <w:p>
      <w:pPr>
        <w:pStyle w:val="0"/>
        <w:spacing w:before="200" w:line-rule="auto"/>
        <w:ind w:firstLine="540"/>
        <w:jc w:val="both"/>
      </w:pPr>
      <w:r>
        <w:rPr>
          <w:sz w:val="20"/>
        </w:rPr>
        <w:t xml:space="preserve">При определении годности кандидата на получение медицинского заключения 3 класса к работе ЦВЛЭК ГА выносит официальное медицинское заключение.</w:t>
      </w:r>
    </w:p>
    <w:p>
      <w:pPr>
        <w:pStyle w:val="0"/>
        <w:jc w:val="both"/>
      </w:pPr>
      <w:r>
        <w:rPr>
          <w:sz w:val="20"/>
        </w:rPr>
        <w:t xml:space="preserve">(абзац введен </w:t>
      </w:r>
      <w:hyperlink w:history="0" r:id="rId17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311. При отсутствии стабильности в течении заболевания может потребоваться отстранение от работы на полный курс лечения с последующей контрольной тональной пороговой аудиометрией и решением вопроса о соответствии запрашиваемой сертификации.</w:t>
      </w:r>
    </w:p>
    <w:p>
      <w:pPr>
        <w:pStyle w:val="0"/>
        <w:spacing w:before="200" w:line-rule="auto"/>
        <w:ind w:firstLine="540"/>
        <w:jc w:val="both"/>
      </w:pPr>
      <w:r>
        <w:rPr>
          <w:sz w:val="20"/>
        </w:rPr>
        <w:t xml:space="preserve">312. Кандидаты на получение медицинского заключения, имеющие признаки клинической формы тугоухости, проходят курс профилактического лечения не реже одного раза в год.</w:t>
      </w:r>
    </w:p>
    <w:p>
      <w:pPr>
        <w:pStyle w:val="0"/>
        <w:spacing w:before="200" w:line-rule="auto"/>
        <w:ind w:firstLine="540"/>
        <w:jc w:val="both"/>
      </w:pPr>
      <w:r>
        <w:rPr>
          <w:sz w:val="20"/>
        </w:rPr>
        <w:t xml:space="preserve">313. Стойкие приобретенные и/или врожденные изменения полости носа и его придаточных пазух, полости рта, глотки, гортани, трахеи или уха после повреждений, заболеваний и перенесенных оперативных вмешательств с клиническими значимыми (выраженными) нарушениями функции ЛОР-органов определяют негодность к работе (C00 - C14; C30 - C32; D10; D14; D36.1; F80.0; F98.5; F98.6; H60 - H95; J00 - J06; J30 - J39; K00 - K14; Q16; Q35 - Q37; R47 - R49; S00 - S09).</w:t>
      </w:r>
    </w:p>
    <w:p>
      <w:pPr>
        <w:pStyle w:val="0"/>
        <w:spacing w:before="200" w:line-rule="auto"/>
        <w:ind w:firstLine="540"/>
        <w:jc w:val="both"/>
      </w:pPr>
      <w:r>
        <w:rPr>
          <w:sz w:val="20"/>
        </w:rPr>
        <w:t xml:space="preserve">314. Кандидаты на получение медицинского заключения с активным острым и/или обострением хронического патологического процесса внутреннего и/или среднего уха должны быть оценены как не годные к обучению и работе (H65 - H83). Оценка соответствия может рассматриваться после стабилизации состояния или полного восстановления.</w:t>
      </w:r>
    </w:p>
    <w:p>
      <w:pPr>
        <w:pStyle w:val="0"/>
        <w:spacing w:before="200" w:line-rule="auto"/>
        <w:ind w:firstLine="540"/>
        <w:jc w:val="both"/>
      </w:pPr>
      <w:r>
        <w:rPr>
          <w:sz w:val="20"/>
        </w:rPr>
        <w:t xml:space="preserve">315.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определяют негодность к работе (H65 - H75).</w:t>
      </w:r>
    </w:p>
    <w:p>
      <w:pPr>
        <w:pStyle w:val="0"/>
        <w:jc w:val="both"/>
      </w:pPr>
      <w:r>
        <w:rPr>
          <w:sz w:val="20"/>
        </w:rPr>
      </w:r>
    </w:p>
    <w:p>
      <w:pPr>
        <w:pStyle w:val="0"/>
        <w:ind w:firstLine="540"/>
        <w:jc w:val="both"/>
      </w:pPr>
      <w:r>
        <w:rPr>
          <w:sz w:val="20"/>
        </w:rPr>
        <w:t xml:space="preserve">316. После оперативных вмешательств на внутреннем и среднем ухе при полной и стойкой эпидермизации послеоперационной полости в зависимости от объема оперативного вмешательства не ранее чем через 3 месяца со дня операции проводится отомикроскопия, диагностическое и аудиологическое обследование с использованием субъективных и объективных методов исследования слуха и оценкой функционального состояния слуха в объеме, достаточном для решения вопроса о возможности сохранности слуховой и барометрической функций (H65 - H83).</w:t>
      </w:r>
    </w:p>
    <w:p>
      <w:pPr>
        <w:pStyle w:val="0"/>
        <w:spacing w:before="200" w:line-rule="auto"/>
        <w:ind w:firstLine="540"/>
        <w:jc w:val="both"/>
      </w:pPr>
      <w:r>
        <w:rPr>
          <w:sz w:val="20"/>
        </w:rPr>
        <w:t xml:space="preserve">317. Кандидаты на получение медицинского заключения с постоянной дисфункцией слуховой трубы могут быть оценены как годные к обучению и работе с вынесением официального медицинского заключения при отсутствии осложнений, благоприятном прогнозе заболеваний и с учетом сохранности слуховой функции (H68 - H69).</w:t>
      </w:r>
    </w:p>
    <w:p>
      <w:pPr>
        <w:pStyle w:val="0"/>
        <w:spacing w:before="200" w:line-rule="auto"/>
        <w:ind w:firstLine="540"/>
        <w:jc w:val="both"/>
      </w:pPr>
      <w:r>
        <w:rPr>
          <w:sz w:val="20"/>
        </w:rPr>
        <w:t xml:space="preserve">318. Доброкачественное позиционное головокружение является противопоказанием к работе. Вопрос о повторном медицинском освидетельствовании может быть рассмотрен не ранее чем через 2 месяца после прекращения лечения и отсутствия симптомов заболевания (H81.1).</w:t>
      </w:r>
    </w:p>
    <w:p>
      <w:pPr>
        <w:pStyle w:val="0"/>
        <w:spacing w:before="200" w:line-rule="auto"/>
        <w:ind w:firstLine="540"/>
        <w:jc w:val="both"/>
      </w:pPr>
      <w:r>
        <w:rPr>
          <w:sz w:val="20"/>
        </w:rPr>
        <w:t xml:space="preserve">319. Болезнь Меньера, врожденные и/или приобретенные аномалии развития вестибулярного органа, хронические и вестибулярные нарушения, не поддающиеся консервативному и хирургическому лечению, являются основаниями для отказа в выдаче медицинского заключения (H81.0).</w:t>
      </w:r>
    </w:p>
    <w:p>
      <w:pPr>
        <w:pStyle w:val="0"/>
        <w:spacing w:before="200" w:line-rule="auto"/>
        <w:ind w:firstLine="540"/>
        <w:jc w:val="both"/>
      </w:pPr>
      <w:r>
        <w:rPr>
          <w:sz w:val="20"/>
        </w:rPr>
        <w:t xml:space="preserve">320. При поллинозе, риноконьюктивальном синдроме вопрос о годности к обучению и работе кандидатов на получение медицинского заключения решается после заключения аллерголога (J30).</w:t>
      </w:r>
    </w:p>
    <w:p>
      <w:pPr>
        <w:pStyle w:val="0"/>
        <w:spacing w:before="200" w:line-rule="auto"/>
        <w:ind w:firstLine="540"/>
        <w:jc w:val="both"/>
      </w:pPr>
      <w:r>
        <w:rPr>
          <w:sz w:val="20"/>
        </w:rPr>
        <w:t xml:space="preserve">321. Искривление носовой перегородки с полным отсутствием или резким затруднением носового дыхания является основанием для отказа в выдаче медицинского заключения (J34.2).</w:t>
      </w:r>
    </w:p>
    <w:p>
      <w:pPr>
        <w:pStyle w:val="0"/>
        <w:spacing w:before="200" w:line-rule="auto"/>
        <w:ind w:firstLine="540"/>
        <w:jc w:val="both"/>
      </w:pPr>
      <w:r>
        <w:rPr>
          <w:sz w:val="20"/>
        </w:rPr>
        <w:t xml:space="preserve">322. Кандидаты на получение медицинского заключения, перенесшие ринопластику с полным восстановлением функции носового дыхания, после оперативного лечения полости носа и околоносовых пазух признаются годными к работе, но не ранее чем через 2 недели после операции.</w:t>
      </w:r>
    </w:p>
    <w:p>
      <w:pPr>
        <w:pStyle w:val="0"/>
        <w:spacing w:before="200" w:line-rule="auto"/>
        <w:ind w:firstLine="540"/>
        <w:jc w:val="both"/>
      </w:pPr>
      <w:r>
        <w:rPr>
          <w:sz w:val="20"/>
        </w:rPr>
        <w:t xml:space="preserve">323. Вопрос о восстановлении на работу после лечения по поводу злокачественных образований рассматривается через год с учетом заключения онколога (C00 - C14; C30 - C32).</w:t>
      </w:r>
    </w:p>
    <w:p>
      <w:pPr>
        <w:pStyle w:val="0"/>
        <w:spacing w:before="200" w:line-rule="auto"/>
        <w:ind w:firstLine="540"/>
        <w:jc w:val="both"/>
      </w:pPr>
      <w:r>
        <w:rPr>
          <w:sz w:val="20"/>
        </w:rPr>
        <w:t xml:space="preserve">324. После оперативного лечения хронического тонзиллита кандидаты на получение медицинского заключения допускаются к работе при отсутствии осложнений (J35.0).</w:t>
      </w:r>
    </w:p>
    <w:p>
      <w:pPr>
        <w:pStyle w:val="0"/>
        <w:spacing w:before="200" w:line-rule="auto"/>
        <w:ind w:firstLine="540"/>
        <w:jc w:val="both"/>
      </w:pPr>
      <w:r>
        <w:rPr>
          <w:sz w:val="20"/>
        </w:rPr>
        <w:t xml:space="preserve">325. При наличии съемных протезов функция речи оценивается при снятых протезах.</w:t>
      </w:r>
    </w:p>
    <w:p>
      <w:pPr>
        <w:pStyle w:val="0"/>
        <w:spacing w:before="200" w:line-rule="auto"/>
        <w:ind w:firstLine="540"/>
        <w:jc w:val="both"/>
      </w:pPr>
      <w:r>
        <w:rPr>
          <w:sz w:val="20"/>
        </w:rPr>
        <w:t xml:space="preserve">326. При множественном отсутствии зубов с умеренным нарушением функции жевания рекомендуется протезирование в межкомиссионный период.</w:t>
      </w:r>
    </w:p>
    <w:p>
      <w:pPr>
        <w:pStyle w:val="0"/>
        <w:spacing w:before="200" w:line-rule="auto"/>
        <w:ind w:firstLine="540"/>
        <w:jc w:val="both"/>
      </w:pPr>
      <w:r>
        <w:rPr>
          <w:sz w:val="20"/>
        </w:rPr>
        <w:t xml:space="preserve">327. При аномалии прикуса I степени (расстояние между резцами - менее 5 мм) кандидаты на получение медицинского заключения признаются годными к обучению и работе. При аномалии прикуса II степени (расстояние между резцами верхней и нижней челюсти в вертикальном и саггитальном направлении от 6 до 10 мм) и аномалии прикуса III степени (более 10 мм) официальное медицинское заключение выносится после консультации врача ортопеда-стоматолога с учетом прогноза заболевания после лечения (K07.0).</w:t>
      </w:r>
    </w:p>
    <w:p>
      <w:pPr>
        <w:pStyle w:val="0"/>
        <w:spacing w:before="200" w:line-rule="auto"/>
        <w:ind w:firstLine="540"/>
        <w:jc w:val="both"/>
      </w:pPr>
      <w:r>
        <w:rPr>
          <w:sz w:val="20"/>
        </w:rPr>
        <w:t xml:space="preserve">328. Кандидаты на получение медицинского заключения со значительным (выраженным) нарушением речи или голоса должны быть оценены как не годные к обучению и работе (F98.5; F98.6; R47 - R49).</w:t>
      </w:r>
    </w:p>
    <w:p>
      <w:pPr>
        <w:pStyle w:val="0"/>
        <w:spacing w:before="200" w:line-rule="auto"/>
        <w:ind w:firstLine="540"/>
        <w:jc w:val="both"/>
      </w:pPr>
      <w:r>
        <w:rPr>
          <w:sz w:val="20"/>
        </w:rPr>
        <w:t xml:space="preserve">329. Кандидаты на получение медицинского заключения, страдающие заиканием, косноязычием или другими дефектами речи, препятствующими речевой связи, считаются не годными к работе.</w:t>
      </w:r>
    </w:p>
    <w:p>
      <w:pPr>
        <w:pStyle w:val="0"/>
        <w:spacing w:before="200" w:line-rule="auto"/>
        <w:ind w:firstLine="540"/>
        <w:jc w:val="both"/>
      </w:pPr>
      <w:r>
        <w:rPr>
          <w:sz w:val="20"/>
        </w:rPr>
        <w:t xml:space="preserve">330. Нарушение произношения отдельных звуков при четкой разборчивой речи не является препятствием к работе (F80.0).</w:t>
      </w:r>
    </w:p>
    <w:p>
      <w:pPr>
        <w:pStyle w:val="0"/>
        <w:jc w:val="both"/>
      </w:pPr>
      <w:r>
        <w:rPr>
          <w:sz w:val="20"/>
        </w:rPr>
      </w:r>
    </w:p>
    <w:p>
      <w:pPr>
        <w:pStyle w:val="2"/>
        <w:outlineLvl w:val="2"/>
        <w:jc w:val="center"/>
      </w:pPr>
      <w:r>
        <w:rPr>
          <w:sz w:val="20"/>
        </w:rPr>
        <w:t xml:space="preserve">XVI. Дерматология (L00 - L99)</w:t>
      </w:r>
    </w:p>
    <w:p>
      <w:pPr>
        <w:pStyle w:val="0"/>
        <w:jc w:val="both"/>
      </w:pPr>
      <w:r>
        <w:rPr>
          <w:sz w:val="20"/>
        </w:rPr>
      </w:r>
    </w:p>
    <w:p>
      <w:pPr>
        <w:pStyle w:val="0"/>
        <w:ind w:firstLine="540"/>
        <w:jc w:val="both"/>
      </w:pPr>
      <w:r>
        <w:rPr>
          <w:sz w:val="20"/>
        </w:rPr>
        <w:t xml:space="preserve">331. В случае если кандидаты на получение медицинского заключения не имеют каких-либо дерматологических заболеваний, препятствующих безопасному выполнению профессиональных обязанностей, предусмотренных соответствующим свидетельством, они признаются годными к обучению и работе.</w:t>
      </w:r>
    </w:p>
    <w:p>
      <w:pPr>
        <w:pStyle w:val="0"/>
        <w:spacing w:before="200" w:line-rule="auto"/>
        <w:ind w:firstLine="540"/>
        <w:jc w:val="both"/>
      </w:pPr>
      <w:r>
        <w:rPr>
          <w:sz w:val="20"/>
        </w:rPr>
        <w:t xml:space="preserve">332. Кожные заболевания (псориаз (L40), псориазоподобные заболевания, красный плоский лишай (L43), приобретенный ихтиоз (L85.0), врожденный ихтиоз (Q80), атопический дерматит (L20.8), простой хронический лишай и почесуха (L28), крапивница (L50), дерматит и экзема (L20 - L30), васкулиты (L95), красная волчанка (L93), другие локализованные изменения соединительной ткани, в том числе локализованная склеродермия (L94), инфекции кожи и подкожной клетчатки (L00 - L08), имеющие хроническое, часто рецидивирующее течение, распространенные формы поражения кожи, а также локализованные кожные процессы, затрудняющие ношение формы, использование специального снаряжения (уши, кисти, шея, стопы, половые органы), являются основаниями для вынесения заключения о негодности к обучению и работе.</w:t>
      </w:r>
    </w:p>
    <w:p>
      <w:pPr>
        <w:pStyle w:val="0"/>
        <w:spacing w:before="200" w:line-rule="auto"/>
        <w:ind w:firstLine="540"/>
        <w:jc w:val="both"/>
      </w:pPr>
      <w:r>
        <w:rPr>
          <w:sz w:val="20"/>
        </w:rPr>
        <w:t xml:space="preserve">333. Ограниченные, редко рецидивирующие формы заболеваний кожи, легко поддающиеся лечению, являются возможным основанием для вынесения решения о годности к обучению и работе в порядке индивидуальной оценки при соответствующем заключении врача-дерматовенеролога.</w:t>
      </w:r>
    </w:p>
    <w:p>
      <w:pPr>
        <w:pStyle w:val="0"/>
        <w:spacing w:before="200" w:line-rule="auto"/>
        <w:ind w:firstLine="540"/>
        <w:jc w:val="both"/>
      </w:pPr>
      <w:r>
        <w:rPr>
          <w:sz w:val="20"/>
        </w:rPr>
        <w:t xml:space="preserve">334. Кандидаты, страдающие пузырчаткой (L10), признаются не годными к обучению и работе.</w:t>
      </w:r>
    </w:p>
    <w:p>
      <w:pPr>
        <w:pStyle w:val="0"/>
        <w:spacing w:before="200" w:line-rule="auto"/>
        <w:ind w:firstLine="540"/>
        <w:jc w:val="both"/>
      </w:pPr>
      <w:r>
        <w:rPr>
          <w:sz w:val="20"/>
        </w:rPr>
        <w:t xml:space="preserve">335. Оценка годности при заболеваниях придатков кожи, в том числе угри (L70), различные виды алопеции (L63, L66), розацеа (L71), гипертрихоз (L68), зависит от формы, степени выраженности, особенностей течения и этиологии заболевания. В том случае, когда заболевания придатков кожи имеют вторичный характер (на фоне эндокринных нарушений, аутоиммунных состояний) годность к обучению и работе оценивается по основному заболеванию.</w:t>
      </w:r>
    </w:p>
    <w:p>
      <w:pPr>
        <w:pStyle w:val="0"/>
        <w:jc w:val="both"/>
      </w:pPr>
      <w:r>
        <w:rPr>
          <w:sz w:val="20"/>
        </w:rPr>
      </w:r>
    </w:p>
    <w:p>
      <w:pPr>
        <w:pStyle w:val="2"/>
        <w:outlineLvl w:val="2"/>
        <w:jc w:val="center"/>
      </w:pPr>
      <w:r>
        <w:rPr>
          <w:sz w:val="20"/>
        </w:rPr>
        <w:t xml:space="preserve">XVII. Онкология (C00 - D48)</w:t>
      </w:r>
    </w:p>
    <w:p>
      <w:pPr>
        <w:pStyle w:val="0"/>
        <w:jc w:val="both"/>
      </w:pPr>
      <w:r>
        <w:rPr>
          <w:sz w:val="20"/>
        </w:rPr>
      </w:r>
    </w:p>
    <w:p>
      <w:pPr>
        <w:pStyle w:val="0"/>
        <w:ind w:firstLine="540"/>
        <w:jc w:val="both"/>
      </w:pPr>
      <w:r>
        <w:rPr>
          <w:sz w:val="20"/>
        </w:rPr>
        <w:t xml:space="preserve">336. Кандидаты на получение медицинского заключения не должны иметь признаков (клинических, лабораторных, инструментальных) первичных или вторичных злокачественных поражений (C00 - C97) (что должно быть подтверждено результатами лабораторных, инструментальных и других видов обследований), препятствующих выполнению профессиональных обязанностей, предусмотренных соответствующим свидетельством.</w:t>
      </w:r>
    </w:p>
    <w:p>
      <w:pPr>
        <w:pStyle w:val="0"/>
        <w:spacing w:before="200" w:line-rule="auto"/>
        <w:ind w:firstLine="540"/>
        <w:jc w:val="both"/>
      </w:pPr>
      <w:r>
        <w:rPr>
          <w:sz w:val="20"/>
        </w:rPr>
        <w:t xml:space="preserve">337. При выявлении злокачественной опухоли кандидаты на получение медицинского заключения 3 класса признаются не годными к обучению и работе.</w:t>
      </w:r>
    </w:p>
    <w:p>
      <w:pPr>
        <w:pStyle w:val="0"/>
        <w:spacing w:before="200" w:line-rule="auto"/>
        <w:ind w:firstLine="540"/>
        <w:jc w:val="both"/>
      </w:pPr>
      <w:r>
        <w:rPr>
          <w:sz w:val="20"/>
        </w:rPr>
        <w:t xml:space="preserve">После проведенного специального лечения злокачественного заболевания кандидаты на получение медицинского заключения проходят обследование на основе клинических рекомендаций и с учетом стандартов медицинской помощи по профилю "онкология" перед осуществлением медицинского освидетельствования и принятием экспертного решения.</w:t>
      </w:r>
    </w:p>
    <w:p>
      <w:pPr>
        <w:pStyle w:val="0"/>
        <w:spacing w:before="200" w:line-rule="auto"/>
        <w:ind w:firstLine="540"/>
        <w:jc w:val="both"/>
      </w:pPr>
      <w:r>
        <w:rPr>
          <w:sz w:val="20"/>
        </w:rPr>
        <w:t xml:space="preserve">338. Кандидаты на получение медицинского заключения с кодами клинического диагноза по МКБ-10 C00 - C14, C30 - C32, C47, C69 - C72, D10, D14, D36.1 рассматриваются как не годные к обучению и работе без права возобновления медицинского заключения.</w:t>
      </w:r>
    </w:p>
    <w:p>
      <w:pPr>
        <w:pStyle w:val="0"/>
        <w:spacing w:before="200" w:line-rule="auto"/>
        <w:ind w:firstLine="540"/>
        <w:jc w:val="both"/>
      </w:pPr>
      <w:r>
        <w:rPr>
          <w:sz w:val="20"/>
        </w:rPr>
        <w:t xml:space="preserve">339. При отсутствии метастазов в головной мозг, рецидивов, генерализации опухолевого процесса вопрос о допуске к работе рассматривается не ранее чем через 6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стадия опухоли по классификации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с ограничением TML.</w:t>
      </w:r>
    </w:p>
    <w:p>
      <w:pPr>
        <w:pStyle w:val="0"/>
        <w:spacing w:before="200" w:line-rule="auto"/>
        <w:ind w:firstLine="540"/>
        <w:jc w:val="both"/>
      </w:pPr>
      <w:r>
        <w:rPr>
          <w:sz w:val="20"/>
        </w:rPr>
        <w:t xml:space="preserve">340. При патоморфологическом заключении "рак in situ" (D00 - D09) независимо от локализации опухоли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p>
      <w:pPr>
        <w:pStyle w:val="0"/>
        <w:spacing w:before="200" w:line-rule="auto"/>
        <w:ind w:firstLine="540"/>
        <w:jc w:val="both"/>
      </w:pPr>
      <w:r>
        <w:rPr>
          <w:sz w:val="20"/>
        </w:rPr>
        <w:t xml:space="preserve">341. При выявлении доброкачественной опухоли (D10 - D36) оценивается возможность безопасного выполнения профессиональных обязанностей, предусмотренных соответствующим свидетельством, с рекомендацией лечения в плановом порядке. Сроки допуска к работе после удаления доброкачественных опухолей определяются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p>
      <w:pPr>
        <w:pStyle w:val="0"/>
        <w:spacing w:before="200" w:line-rule="auto"/>
        <w:ind w:firstLine="540"/>
        <w:jc w:val="both"/>
      </w:pPr>
      <w:r>
        <w:rPr>
          <w:sz w:val="20"/>
        </w:rPr>
        <w:t xml:space="preserve">342. Доброкачественные опухоли, а также костно-хрящевые экзостозы, узловой зоб (E05.2, E01.1, E04.9), кистозные новообразования, аденома предстательной железы (N40), мастопатии (N60) оцениваются по степени нарушения функций органов и болевого синдрома. Доброкачественные опухоли небольших размеров без тенденции к росту, не мешающие ношению одежды и обуви, не являются основанием для отказа в выдаче медицинского заключения.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Порядку</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3325" w:name="P3325"/>
    <w:bookmarkEnd w:id="3325"/>
    <w:p>
      <w:pPr>
        <w:pStyle w:val="0"/>
        <w:jc w:val="center"/>
      </w:pPr>
      <w:r>
        <w:rPr>
          <w:sz w:val="20"/>
        </w:rPr>
        <w:t xml:space="preserve">ПРОТОКОЛ N ____ от _________</w:t>
      </w:r>
    </w:p>
    <w:p>
      <w:pPr>
        <w:pStyle w:val="0"/>
        <w:jc w:val="center"/>
      </w:pPr>
      <w:r>
        <w:rPr>
          <w:sz w:val="20"/>
        </w:rPr>
        <w:t xml:space="preserve">медицинского освидетельствования ВЛЭК ГА (ЦВЛЭК ГА)</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
        <w:gridCol w:w="794"/>
        <w:gridCol w:w="794"/>
        <w:gridCol w:w="781"/>
        <w:gridCol w:w="567"/>
        <w:gridCol w:w="415"/>
        <w:gridCol w:w="528"/>
        <w:gridCol w:w="503"/>
        <w:gridCol w:w="340"/>
        <w:gridCol w:w="283"/>
        <w:gridCol w:w="681"/>
        <w:gridCol w:w="340"/>
        <w:gridCol w:w="607"/>
        <w:gridCol w:w="243"/>
        <w:gridCol w:w="610"/>
        <w:gridCol w:w="519"/>
        <w:gridCol w:w="275"/>
        <w:gridCol w:w="341"/>
        <w:gridCol w:w="339"/>
        <w:gridCol w:w="694"/>
        <w:gridCol w:w="420"/>
        <w:gridCol w:w="372"/>
        <w:gridCol w:w="567"/>
        <w:gridCol w:w="691"/>
        <w:gridCol w:w="340"/>
      </w:tblGrid>
      <w:tr>
        <w:tc>
          <w:tcPr>
            <w:tcW w:w="340" w:type="dxa"/>
          </w:tcPr>
          <w:p>
            <w:pPr>
              <w:pStyle w:val="0"/>
            </w:pPr>
            <w:r>
              <w:rPr>
                <w:sz w:val="20"/>
              </w:rPr>
            </w:r>
          </w:p>
        </w:tc>
        <w:tc>
          <w:tcPr>
            <w:gridSpan w:val="4"/>
            <w:tcW w:w="2936" w:type="dxa"/>
            <w:vMerge w:val="restart"/>
          </w:tcPr>
          <w:p>
            <w:pPr>
              <w:pStyle w:val="0"/>
            </w:pPr>
            <w:r>
              <w:rPr>
                <w:sz w:val="20"/>
              </w:rPr>
              <w:t xml:space="preserve">Фамилия, имя, отчество, год рождения</w:t>
            </w:r>
          </w:p>
        </w:tc>
        <w:tc>
          <w:tcPr>
            <w:gridSpan w:val="7"/>
            <w:tcW w:w="3090" w:type="dxa"/>
          </w:tcPr>
          <w:p>
            <w:pPr>
              <w:pStyle w:val="0"/>
            </w:pPr>
            <w:r>
              <w:rPr>
                <w:sz w:val="20"/>
              </w:rPr>
              <w:t xml:space="preserve">Категория освидетельствования:</w:t>
            </w:r>
          </w:p>
        </w:tc>
        <w:tc>
          <w:tcPr>
            <w:gridSpan w:val="5"/>
            <w:tcW w:w="2254" w:type="dxa"/>
            <w:vMerge w:val="restart"/>
          </w:tcPr>
          <w:p>
            <w:pPr>
              <w:pStyle w:val="0"/>
              <w:jc w:val="center"/>
            </w:pPr>
            <w:r>
              <w:rPr>
                <w:sz w:val="20"/>
              </w:rPr>
              <w:t xml:space="preserve">Класс мед. заключения</w:t>
            </w:r>
          </w:p>
        </w:tc>
        <w:tc>
          <w:tcPr>
            <w:gridSpan w:val="3"/>
            <w:tcW w:w="1374" w:type="dxa"/>
            <w:vMerge w:val="restart"/>
          </w:tcPr>
          <w:p>
            <w:pPr>
              <w:pStyle w:val="0"/>
              <w:jc w:val="center"/>
            </w:pPr>
            <w:r>
              <w:rPr>
                <w:sz w:val="20"/>
              </w:rPr>
              <w:t xml:space="preserve">Рост, см</w:t>
            </w:r>
          </w:p>
        </w:tc>
        <w:tc>
          <w:tcPr>
            <w:gridSpan w:val="2"/>
            <w:tcW w:w="792" w:type="dxa"/>
            <w:vMerge w:val="restart"/>
          </w:tcPr>
          <w:p>
            <w:pPr>
              <w:pStyle w:val="0"/>
              <w:jc w:val="center"/>
            </w:pPr>
            <w:r>
              <w:rPr>
                <w:sz w:val="20"/>
              </w:rPr>
              <w:t xml:space="preserve">Вес,</w:t>
            </w:r>
          </w:p>
          <w:p>
            <w:pPr>
              <w:pStyle w:val="0"/>
              <w:jc w:val="center"/>
            </w:pPr>
            <w:r>
              <w:rPr>
                <w:sz w:val="20"/>
              </w:rPr>
              <w:t xml:space="preserve">кг</w:t>
            </w:r>
          </w:p>
        </w:tc>
        <w:tc>
          <w:tcPr>
            <w:gridSpan w:val="3"/>
            <w:tcW w:w="1598" w:type="dxa"/>
            <w:vMerge w:val="restart"/>
          </w:tcPr>
          <w:p>
            <w:pPr>
              <w:pStyle w:val="0"/>
              <w:jc w:val="center"/>
            </w:pPr>
            <w:r>
              <w:rPr>
                <w:sz w:val="20"/>
              </w:rPr>
              <w:t xml:space="preserve">ИМТ, кг/м</w:t>
            </w:r>
            <w:r>
              <w:rPr>
                <w:sz w:val="20"/>
                <w:vertAlign w:val="superscript"/>
              </w:rPr>
              <w:t xml:space="preserve">2</w:t>
            </w:r>
            <w:r>
              <w:rPr>
                <w:sz w:val="20"/>
              </w:rPr>
              <w:t xml:space="preserve">, окружность талии</w:t>
            </w:r>
          </w:p>
        </w:tc>
      </w:tr>
      <w:tr>
        <w:tc>
          <w:tcPr>
            <w:tcW w:w="340" w:type="dxa"/>
          </w:tcPr>
          <w:p>
            <w:pPr>
              <w:pStyle w:val="0"/>
            </w:pPr>
            <w:r>
              <w:rPr>
                <w:sz w:val="20"/>
              </w:rPr>
            </w:r>
          </w:p>
        </w:tc>
        <w:tc>
          <w:tcPr>
            <w:gridSpan w:val="4"/>
            <w:vMerge w:val="continue"/>
          </w:tcPr>
          <w:p/>
        </w:tc>
        <w:tc>
          <w:tcPr>
            <w:gridSpan w:val="6"/>
            <w:tcW w:w="2750" w:type="dxa"/>
            <w:tcBorders>
              <w:bottom w:val="nil"/>
            </w:tcBorders>
          </w:tcPr>
          <w:p>
            <w:pPr>
              <w:pStyle w:val="0"/>
            </w:pPr>
            <w:r>
              <w:rPr>
                <w:sz w:val="20"/>
              </w:rPr>
              <w:t xml:space="preserve">Первичное</w:t>
            </w:r>
          </w:p>
        </w:tc>
        <w:tc>
          <w:tcPr>
            <w:tcW w:w="340" w:type="dxa"/>
          </w:tcPr>
          <w:p>
            <w:pPr>
              <w:pStyle w:val="0"/>
            </w:pPr>
            <w:r>
              <w:rPr>
                <w:sz w:val="20"/>
              </w:rPr>
            </w:r>
          </w:p>
        </w:tc>
        <w:tc>
          <w:tcPr>
            <w:gridSpan w:val="5"/>
            <w:vMerge w:val="continue"/>
          </w:tcPr>
          <w:p/>
        </w:tc>
        <w:tc>
          <w:tcPr>
            <w:gridSpan w:val="3"/>
            <w:vMerge w:val="continue"/>
          </w:tcPr>
          <w:p/>
        </w:tc>
        <w:tc>
          <w:tcPr>
            <w:gridSpan w:val="2"/>
            <w:vMerge w:val="continue"/>
          </w:tcPr>
          <w:p/>
        </w:tc>
        <w:tc>
          <w:tcPr>
            <w:gridSpan w:val="3"/>
            <w:vMerge w:val="continue"/>
          </w:tcPr>
          <w:p/>
        </w:tc>
      </w:tr>
      <w:tr>
        <w:tc>
          <w:tcPr>
            <w:tcW w:w="340" w:type="dxa"/>
          </w:tcPr>
          <w:p>
            <w:pPr>
              <w:pStyle w:val="0"/>
            </w:pPr>
            <w:r>
              <w:rPr>
                <w:sz w:val="20"/>
              </w:rPr>
            </w:r>
          </w:p>
        </w:tc>
        <w:tc>
          <w:tcPr>
            <w:gridSpan w:val="4"/>
            <w:vMerge w:val="continue"/>
          </w:tcPr>
          <w:p/>
        </w:tc>
        <w:tc>
          <w:tcPr>
            <w:gridSpan w:val="6"/>
            <w:tcW w:w="2750" w:type="dxa"/>
            <w:tcBorders>
              <w:top w:val="nil"/>
              <w:bottom w:val="nil"/>
            </w:tcBorders>
          </w:tcPr>
          <w:p>
            <w:pPr>
              <w:pStyle w:val="0"/>
            </w:pPr>
            <w:r>
              <w:rPr>
                <w:sz w:val="20"/>
              </w:rPr>
              <w:t xml:space="preserve">Очередное</w:t>
            </w:r>
          </w:p>
        </w:tc>
        <w:tc>
          <w:tcPr>
            <w:tcW w:w="340" w:type="dxa"/>
          </w:tcPr>
          <w:p>
            <w:pPr>
              <w:pStyle w:val="0"/>
            </w:pPr>
            <w:r>
              <w:rPr>
                <w:sz w:val="20"/>
              </w:rPr>
            </w:r>
          </w:p>
        </w:tc>
        <w:tc>
          <w:tcPr>
            <w:gridSpan w:val="5"/>
            <w:tcW w:w="2254" w:type="dxa"/>
            <w:tcBorders>
              <w:right w:val="nil"/>
            </w:tcBorders>
            <w:vMerge w:val="restart"/>
          </w:tcPr>
          <w:p>
            <w:pPr>
              <w:pStyle w:val="0"/>
            </w:pPr>
            <w:r>
              <w:rPr>
                <w:sz w:val="20"/>
              </w:rPr>
              <w:t xml:space="preserve">АД, мм. рт. ст</w:t>
            </w:r>
          </w:p>
        </w:tc>
        <w:tc>
          <w:tcPr>
            <w:gridSpan w:val="3"/>
            <w:tcW w:w="1374" w:type="dxa"/>
            <w:tcBorders>
              <w:left w:val="nil"/>
            </w:tcBorders>
            <w:vMerge w:val="restart"/>
          </w:tcPr>
          <w:p>
            <w:pPr>
              <w:pStyle w:val="0"/>
              <w:jc w:val="center"/>
            </w:pPr>
            <w:r>
              <w:rPr>
                <w:sz w:val="20"/>
              </w:rPr>
              <w:t xml:space="preserve">t° тела</w:t>
            </w:r>
          </w:p>
        </w:tc>
        <w:tc>
          <w:tcPr>
            <w:gridSpan w:val="2"/>
            <w:tcW w:w="792" w:type="dxa"/>
            <w:vMerge w:val="restart"/>
          </w:tcPr>
          <w:p>
            <w:pPr>
              <w:pStyle w:val="0"/>
              <w:jc w:val="center"/>
            </w:pPr>
            <w:r>
              <w:rPr>
                <w:sz w:val="20"/>
              </w:rPr>
              <w:t xml:space="preserve">Пульс</w:t>
            </w:r>
          </w:p>
        </w:tc>
        <w:tc>
          <w:tcPr>
            <w:gridSpan w:val="3"/>
            <w:tcW w:w="1598" w:type="dxa"/>
            <w:vMerge w:val="restart"/>
          </w:tcPr>
          <w:p>
            <w:pPr>
              <w:pStyle w:val="0"/>
              <w:jc w:val="center"/>
            </w:pPr>
            <w:r>
              <w:rPr>
                <w:sz w:val="20"/>
              </w:rPr>
              <w:t xml:space="preserve">Ритм</w:t>
            </w:r>
          </w:p>
        </w:tc>
      </w:tr>
      <w:tr>
        <w:tc>
          <w:tcPr>
            <w:tcW w:w="340" w:type="dxa"/>
          </w:tcPr>
          <w:p>
            <w:pPr>
              <w:pStyle w:val="0"/>
            </w:pPr>
            <w:r>
              <w:rPr>
                <w:sz w:val="20"/>
              </w:rPr>
            </w:r>
          </w:p>
        </w:tc>
        <w:tc>
          <w:tcPr>
            <w:gridSpan w:val="4"/>
            <w:tcW w:w="2936" w:type="dxa"/>
            <w:vMerge w:val="restart"/>
          </w:tcPr>
          <w:p>
            <w:pPr>
              <w:pStyle w:val="0"/>
            </w:pPr>
            <w:r>
              <w:rPr>
                <w:sz w:val="20"/>
              </w:rPr>
              <w:t xml:space="preserve">Личный (ID) номер:</w:t>
            </w:r>
          </w:p>
        </w:tc>
        <w:tc>
          <w:tcPr>
            <w:gridSpan w:val="6"/>
            <w:tcW w:w="2750" w:type="dxa"/>
            <w:tcBorders>
              <w:top w:val="nil"/>
            </w:tcBorders>
          </w:tcPr>
          <w:p>
            <w:pPr>
              <w:pStyle w:val="0"/>
            </w:pPr>
            <w:r>
              <w:rPr>
                <w:sz w:val="20"/>
              </w:rPr>
              <w:t xml:space="preserve">Внеочередное</w:t>
            </w:r>
          </w:p>
        </w:tc>
        <w:tc>
          <w:tcPr>
            <w:tcW w:w="340" w:type="dxa"/>
          </w:tcPr>
          <w:p>
            <w:pPr>
              <w:pStyle w:val="0"/>
            </w:pPr>
            <w:r>
              <w:rPr>
                <w:sz w:val="20"/>
              </w:rPr>
            </w:r>
          </w:p>
        </w:tc>
        <w:tc>
          <w:tcPr>
            <w:gridSpan w:val="5"/>
            <w:tcBorders>
              <w:right w:val="nil"/>
            </w:tcBorders>
            <w:vMerge w:val="continue"/>
          </w:tcPr>
          <w:p/>
        </w:tc>
        <w:tc>
          <w:tcPr>
            <w:gridSpan w:val="3"/>
            <w:tcBorders>
              <w:left w:val="nil"/>
            </w:tcBorders>
            <w:vMerge w:val="continue"/>
          </w:tcPr>
          <w:p/>
        </w:tc>
        <w:tc>
          <w:tcPr>
            <w:gridSpan w:val="2"/>
            <w:vMerge w:val="continue"/>
          </w:tcPr>
          <w:p/>
        </w:tc>
        <w:tc>
          <w:tcPr>
            <w:gridSpan w:val="3"/>
            <w:vMerge w:val="continue"/>
          </w:tcPr>
          <w:p/>
        </w:tc>
      </w:tr>
      <w:tr>
        <w:tc>
          <w:tcPr>
            <w:tcW w:w="340" w:type="dxa"/>
          </w:tcPr>
          <w:p>
            <w:pPr>
              <w:pStyle w:val="0"/>
            </w:pPr>
            <w:r>
              <w:rPr>
                <w:sz w:val="20"/>
              </w:rPr>
            </w:r>
          </w:p>
        </w:tc>
        <w:tc>
          <w:tcPr>
            <w:gridSpan w:val="4"/>
            <w:vMerge w:val="continue"/>
          </w:tcPr>
          <w:p/>
        </w:tc>
        <w:tc>
          <w:tcPr>
            <w:gridSpan w:val="3"/>
            <w:tcW w:w="1446" w:type="dxa"/>
          </w:tcPr>
          <w:p>
            <w:pPr>
              <w:pStyle w:val="0"/>
            </w:pPr>
            <w:r>
              <w:rPr>
                <w:sz w:val="20"/>
              </w:rPr>
              <w:t xml:space="preserve">Дата</w:t>
            </w:r>
          </w:p>
        </w:tc>
        <w:tc>
          <w:tcPr>
            <w:gridSpan w:val="4"/>
            <w:tcW w:w="1644" w:type="dxa"/>
          </w:tcPr>
          <w:p>
            <w:pPr>
              <w:pStyle w:val="0"/>
            </w:pPr>
            <w:r>
              <w:rPr>
                <w:sz w:val="20"/>
              </w:rPr>
            </w:r>
          </w:p>
        </w:tc>
        <w:tc>
          <w:tcPr>
            <w:gridSpan w:val="5"/>
            <w:tcBorders>
              <w:right w:val="nil"/>
            </w:tcBorders>
            <w:vMerge w:val="continue"/>
          </w:tcPr>
          <w:p/>
        </w:tc>
        <w:tc>
          <w:tcPr>
            <w:gridSpan w:val="3"/>
            <w:tcBorders>
              <w:left w:val="nil"/>
            </w:tcBorders>
            <w:vMerge w:val="continue"/>
          </w:tcPr>
          <w:p/>
        </w:tc>
        <w:tc>
          <w:tcPr>
            <w:gridSpan w:val="2"/>
            <w:vMerge w:val="continue"/>
          </w:tcPr>
          <w:p/>
        </w:tc>
        <w:tc>
          <w:tcPr>
            <w:gridSpan w:val="3"/>
            <w:vMerge w:val="continue"/>
          </w:tcPr>
          <w:p/>
        </w:tc>
      </w:tr>
      <w:tr>
        <w:tc>
          <w:tcPr>
            <w:tcW w:w="340" w:type="dxa"/>
          </w:tcPr>
          <w:p>
            <w:pPr>
              <w:pStyle w:val="0"/>
            </w:pPr>
            <w:r>
              <w:rPr>
                <w:sz w:val="20"/>
              </w:rPr>
            </w:r>
          </w:p>
        </w:tc>
        <w:tc>
          <w:tcPr>
            <w:gridSpan w:val="24"/>
            <w:tcW w:w="12044" w:type="dxa"/>
          </w:tcPr>
          <w:p>
            <w:pPr>
              <w:pStyle w:val="0"/>
              <w:jc w:val="center"/>
            </w:pPr>
            <w:r>
              <w:rPr>
                <w:sz w:val="20"/>
              </w:rPr>
              <w:t xml:space="preserve">Антропометрические данные и общие сведения</w:t>
            </w:r>
          </w:p>
        </w:tc>
      </w:tr>
      <w:tr>
        <w:tc>
          <w:tcPr>
            <w:tcW w:w="340" w:type="dxa"/>
          </w:tcPr>
          <w:p>
            <w:pPr>
              <w:pStyle w:val="0"/>
            </w:pPr>
            <w:r>
              <w:rPr>
                <w:sz w:val="20"/>
              </w:rPr>
            </w:r>
          </w:p>
        </w:tc>
        <w:tc>
          <w:tcPr>
            <w:gridSpan w:val="3"/>
            <w:tcW w:w="2369" w:type="dxa"/>
          </w:tcPr>
          <w:p>
            <w:pPr>
              <w:pStyle w:val="0"/>
              <w:jc w:val="center"/>
            </w:pPr>
            <w:r>
              <w:rPr>
                <w:sz w:val="20"/>
              </w:rPr>
              <w:t xml:space="preserve">Окружность грудной клетки, см</w:t>
            </w:r>
          </w:p>
        </w:tc>
        <w:tc>
          <w:tcPr>
            <w:gridSpan w:val="3"/>
            <w:tcW w:w="1510" w:type="dxa"/>
          </w:tcPr>
          <w:p>
            <w:pPr>
              <w:pStyle w:val="0"/>
              <w:jc w:val="center"/>
            </w:pPr>
            <w:r>
              <w:rPr>
                <w:sz w:val="20"/>
              </w:rPr>
              <w:t xml:space="preserve">Длина ног, см</w:t>
            </w:r>
          </w:p>
        </w:tc>
        <w:tc>
          <w:tcPr>
            <w:gridSpan w:val="7"/>
            <w:tcW w:w="2997" w:type="dxa"/>
          </w:tcPr>
          <w:p>
            <w:pPr>
              <w:pStyle w:val="0"/>
              <w:jc w:val="center"/>
            </w:pPr>
            <w:r>
              <w:rPr>
                <w:sz w:val="20"/>
              </w:rPr>
              <w:t xml:space="preserve">Динамометрия</w:t>
            </w:r>
          </w:p>
        </w:tc>
        <w:tc>
          <w:tcPr>
            <w:gridSpan w:val="3"/>
            <w:tcW w:w="1404" w:type="dxa"/>
          </w:tcPr>
          <w:p>
            <w:pPr>
              <w:pStyle w:val="0"/>
              <w:jc w:val="center"/>
            </w:pPr>
            <w:r>
              <w:rPr>
                <w:sz w:val="20"/>
              </w:rPr>
              <w:t xml:space="preserve">Спирометрия (ЖЕЛ, л)</w:t>
            </w:r>
          </w:p>
        </w:tc>
        <w:tc>
          <w:tcPr>
            <w:gridSpan w:val="5"/>
            <w:tcW w:w="2166" w:type="dxa"/>
          </w:tcPr>
          <w:p>
            <w:pPr>
              <w:pStyle w:val="0"/>
              <w:jc w:val="center"/>
            </w:pPr>
            <w:r>
              <w:rPr>
                <w:sz w:val="20"/>
              </w:rPr>
              <w:t xml:space="preserve">Телосложение/объем талии, см</w:t>
            </w:r>
          </w:p>
        </w:tc>
        <w:tc>
          <w:tcPr>
            <w:gridSpan w:val="3"/>
            <w:tcW w:w="1598" w:type="dxa"/>
          </w:tcPr>
          <w:p>
            <w:pPr>
              <w:pStyle w:val="0"/>
              <w:jc w:val="center"/>
            </w:pPr>
            <w:r>
              <w:rPr>
                <w:sz w:val="20"/>
              </w:rPr>
              <w:t xml:space="preserve">Дефекты развития</w:t>
            </w:r>
          </w:p>
        </w:tc>
      </w:tr>
      <w:tr>
        <w:tc>
          <w:tcPr>
            <w:tcW w:w="340" w:type="dxa"/>
          </w:tcPr>
          <w:p>
            <w:pPr>
              <w:pStyle w:val="0"/>
            </w:pPr>
            <w:r>
              <w:rPr>
                <w:sz w:val="20"/>
              </w:rPr>
            </w:r>
          </w:p>
        </w:tc>
        <w:tc>
          <w:tcPr>
            <w:tcW w:w="794" w:type="dxa"/>
          </w:tcPr>
          <w:p>
            <w:pPr>
              <w:pStyle w:val="0"/>
              <w:jc w:val="center"/>
            </w:pPr>
            <w:r>
              <w:rPr>
                <w:sz w:val="20"/>
              </w:rPr>
              <w:t xml:space="preserve">в покое</w:t>
            </w:r>
          </w:p>
        </w:tc>
        <w:tc>
          <w:tcPr>
            <w:tcW w:w="794" w:type="dxa"/>
          </w:tcPr>
          <w:p>
            <w:pPr>
              <w:pStyle w:val="0"/>
              <w:jc w:val="center"/>
            </w:pPr>
            <w:r>
              <w:rPr>
                <w:sz w:val="20"/>
              </w:rPr>
              <w:t xml:space="preserve">при вдохе</w:t>
            </w:r>
          </w:p>
        </w:tc>
        <w:tc>
          <w:tcPr>
            <w:tcW w:w="781" w:type="dxa"/>
          </w:tcPr>
          <w:p>
            <w:pPr>
              <w:pStyle w:val="0"/>
              <w:jc w:val="center"/>
            </w:pPr>
            <w:r>
              <w:rPr>
                <w:sz w:val="20"/>
              </w:rPr>
              <w:t xml:space="preserve">при выдохе</w:t>
            </w:r>
          </w:p>
        </w:tc>
        <w:tc>
          <w:tcPr>
            <w:tcW w:w="567" w:type="dxa"/>
          </w:tcPr>
          <w:p>
            <w:pPr>
              <w:pStyle w:val="0"/>
              <w:jc w:val="center"/>
            </w:pPr>
            <w:r>
              <w:rPr>
                <w:sz w:val="20"/>
              </w:rPr>
              <w:t xml:space="preserve">правой</w:t>
            </w:r>
          </w:p>
        </w:tc>
        <w:tc>
          <w:tcPr>
            <w:gridSpan w:val="2"/>
            <w:tcW w:w="943" w:type="dxa"/>
          </w:tcPr>
          <w:p>
            <w:pPr>
              <w:pStyle w:val="0"/>
              <w:jc w:val="center"/>
            </w:pPr>
            <w:r>
              <w:rPr>
                <w:sz w:val="20"/>
              </w:rPr>
              <w:t xml:space="preserve">левой</w:t>
            </w:r>
          </w:p>
        </w:tc>
        <w:tc>
          <w:tcPr>
            <w:gridSpan w:val="2"/>
            <w:tcW w:w="843" w:type="dxa"/>
          </w:tcPr>
          <w:p>
            <w:pPr>
              <w:pStyle w:val="0"/>
              <w:jc w:val="center"/>
            </w:pPr>
            <w:r>
              <w:rPr>
                <w:sz w:val="20"/>
              </w:rPr>
              <w:t xml:space="preserve">правой кисти</w:t>
            </w:r>
          </w:p>
        </w:tc>
        <w:tc>
          <w:tcPr>
            <w:gridSpan w:val="5"/>
            <w:tcW w:w="2154" w:type="dxa"/>
          </w:tcPr>
          <w:p>
            <w:pPr>
              <w:pStyle w:val="0"/>
              <w:jc w:val="center"/>
            </w:pPr>
            <w:r>
              <w:rPr>
                <w:sz w:val="20"/>
              </w:rPr>
              <w:t xml:space="preserve">левой кисти</w:t>
            </w:r>
          </w:p>
        </w:tc>
        <w:tc>
          <w:tcPr>
            <w:gridSpan w:val="3"/>
            <w:tcW w:w="1404" w:type="dxa"/>
          </w:tcPr>
          <w:p>
            <w:pPr>
              <w:pStyle w:val="0"/>
            </w:pPr>
            <w:r>
              <w:rPr>
                <w:sz w:val="20"/>
              </w:rPr>
            </w:r>
          </w:p>
        </w:tc>
        <w:tc>
          <w:tcPr>
            <w:gridSpan w:val="5"/>
            <w:tcW w:w="2166" w:type="dxa"/>
          </w:tcPr>
          <w:p>
            <w:pPr>
              <w:pStyle w:val="0"/>
            </w:pPr>
            <w:r>
              <w:rPr>
                <w:sz w:val="20"/>
              </w:rPr>
            </w:r>
          </w:p>
        </w:tc>
        <w:tc>
          <w:tcPr>
            <w:gridSpan w:val="3"/>
            <w:tcW w:w="1598" w:type="dxa"/>
          </w:tcPr>
          <w:p>
            <w:pPr>
              <w:pStyle w:val="0"/>
            </w:pPr>
            <w:r>
              <w:rPr>
                <w:sz w:val="20"/>
              </w:rPr>
            </w:r>
          </w:p>
        </w:tc>
      </w:tr>
      <w:tr>
        <w:tblPrEx>
          <w:tblBorders>
            <w:insideV w:val="nil"/>
          </w:tblBorders>
        </w:tblPrEx>
        <w:tc>
          <w:tcPr>
            <w:tcW w:w="340" w:type="dxa"/>
            <w:tcBorders>
              <w:left w:val="single" w:sz="4"/>
              <w:right w:val="single" w:sz="4"/>
            </w:tcBorders>
          </w:tcPr>
          <w:p>
            <w:pPr>
              <w:pStyle w:val="0"/>
            </w:pPr>
            <w:r>
              <w:rPr>
                <w:sz w:val="20"/>
              </w:rPr>
            </w:r>
          </w:p>
        </w:tc>
        <w:tc>
          <w:tcPr>
            <w:gridSpan w:val="21"/>
            <w:tcW w:w="10446" w:type="dxa"/>
            <w:tcBorders>
              <w:left w:val="single" w:sz="4"/>
            </w:tcBorders>
          </w:tcPr>
          <w:p>
            <w:pPr>
              <w:pStyle w:val="0"/>
              <w:jc w:val="center"/>
            </w:pPr>
            <w:r>
              <w:rPr>
                <w:sz w:val="20"/>
              </w:rPr>
              <w:t xml:space="preserve">Данные обследования и функциональной оценки органа зрения</w:t>
            </w:r>
          </w:p>
        </w:tc>
        <w:tc>
          <w:tcPr>
            <w:gridSpan w:val="3"/>
            <w:tcW w:w="1598" w:type="dxa"/>
            <w:tcBorders>
              <w:right w:val="single" w:sz="4"/>
            </w:tcBorders>
          </w:tcPr>
          <w:p>
            <w:pPr>
              <w:pStyle w:val="0"/>
              <w:jc w:val="right"/>
            </w:pPr>
            <w:r>
              <w:rPr>
                <w:sz w:val="20"/>
              </w:rPr>
              <w:t xml:space="preserve">Дата осмотра</w:t>
            </w:r>
          </w:p>
        </w:tc>
      </w:tr>
      <w:tr>
        <w:tc>
          <w:tcPr>
            <w:tcW w:w="340" w:type="dxa"/>
          </w:tcPr>
          <w:p>
            <w:pPr>
              <w:pStyle w:val="0"/>
            </w:pPr>
            <w:r>
              <w:rPr>
                <w:sz w:val="20"/>
              </w:rPr>
            </w:r>
          </w:p>
        </w:tc>
        <w:tc>
          <w:tcPr>
            <w:gridSpan w:val="24"/>
            <w:tcW w:w="12044" w:type="dxa"/>
          </w:tcPr>
          <w:p>
            <w:pPr>
              <w:pStyle w:val="0"/>
            </w:pPr>
            <w:r>
              <w:rPr>
                <w:sz w:val="20"/>
              </w:rPr>
              <w:t xml:space="preserve">Жалобы, анамнез:</w:t>
            </w:r>
          </w:p>
        </w:tc>
      </w:tr>
      <w:tr>
        <w:tc>
          <w:tcPr>
            <w:tcW w:w="340" w:type="dxa"/>
            <w:vAlign w:val="center"/>
          </w:tcPr>
          <w:p>
            <w:pPr>
              <w:pStyle w:val="0"/>
            </w:pPr>
            <w:r>
              <w:rPr>
                <w:sz w:val="20"/>
              </w:rPr>
            </w:r>
          </w:p>
        </w:tc>
        <w:tc>
          <w:tcPr>
            <w:gridSpan w:val="3"/>
            <w:tcW w:w="2369" w:type="dxa"/>
            <w:vAlign w:val="center"/>
          </w:tcPr>
          <w:p>
            <w:pPr>
              <w:pStyle w:val="0"/>
            </w:pPr>
            <w:r>
              <w:rPr>
                <w:sz w:val="20"/>
              </w:rPr>
              <w:t xml:space="preserve">Цветовое зрение (полихроматические таблицы)</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5"/>
            <w:tcW w:w="2254" w:type="dxa"/>
            <w:vAlign w:val="center"/>
          </w:tcPr>
          <w:p>
            <w:pPr>
              <w:pStyle w:val="0"/>
            </w:pPr>
            <w:r>
              <w:rPr>
                <w:sz w:val="20"/>
              </w:rPr>
              <w:t xml:space="preserve">Подвижность глазного яблока</w:t>
            </w:r>
          </w:p>
        </w:tc>
        <w:tc>
          <w:tcPr>
            <w:gridSpan w:val="5"/>
            <w:tcW w:w="2166"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Острота зрения без коррекции</w:t>
            </w:r>
          </w:p>
        </w:tc>
        <w:tc>
          <w:tcPr>
            <w:tcW w:w="567" w:type="dxa"/>
            <w:vAlign w:val="center"/>
          </w:tcPr>
          <w:p>
            <w:pPr>
              <w:pStyle w:val="0"/>
              <w:jc w:val="center"/>
            </w:pPr>
            <w:r>
              <w:rPr>
                <w:sz w:val="20"/>
              </w:rPr>
              <w:t xml:space="preserve">OD</w:t>
            </w:r>
          </w:p>
        </w:tc>
        <w:tc>
          <w:tcPr>
            <w:gridSpan w:val="2"/>
            <w:tcW w:w="943" w:type="dxa"/>
            <w:vAlign w:val="center"/>
          </w:tcPr>
          <w:p>
            <w:pPr>
              <w:pStyle w:val="0"/>
              <w:jc w:val="center"/>
            </w:pPr>
            <w:r>
              <w:rPr>
                <w:sz w:val="20"/>
              </w:rPr>
              <w:t xml:space="preserve">OS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tcW w:w="850" w:type="dxa"/>
            <w:vAlign w:val="center"/>
            <w:vMerge w:val="restart"/>
          </w:tcPr>
          <w:p>
            <w:pPr>
              <w:pStyle w:val="0"/>
              <w:jc w:val="center"/>
            </w:pPr>
            <w:r>
              <w:rPr>
                <w:sz w:val="20"/>
              </w:rPr>
              <w:t xml:space="preserve">Глазодвигательный</w:t>
            </w:r>
          </w:p>
        </w:tc>
        <w:tc>
          <w:tcPr>
            <w:gridSpan w:val="8"/>
            <w:tcW w:w="3570" w:type="dxa"/>
            <w:vAlign w:val="center"/>
          </w:tcPr>
          <w:p>
            <w:pPr>
              <w:pStyle w:val="0"/>
              <w:jc w:val="center"/>
            </w:pPr>
            <w:r>
              <w:rPr>
                <w:sz w:val="20"/>
              </w:rPr>
              <w:t xml:space="preserve">Глубинное зрение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vMerge w:val="restart"/>
          </w:tcPr>
          <w:p>
            <w:pPr>
              <w:pStyle w:val="0"/>
            </w:pPr>
            <w:r>
              <w:rPr>
                <w:sz w:val="20"/>
              </w:rPr>
              <w:t xml:space="preserve">Рефракция</w:t>
            </w:r>
          </w:p>
        </w:tc>
        <w:tc>
          <w:tcPr>
            <w:gridSpan w:val="3"/>
            <w:tcW w:w="1510" w:type="dxa"/>
            <w:vAlign w:val="center"/>
          </w:tcPr>
          <w:p>
            <w:pPr>
              <w:pStyle w:val="0"/>
              <w:jc w:val="center"/>
            </w:pPr>
            <w:r>
              <w:rPr>
                <w:sz w:val="20"/>
              </w:rPr>
              <w:t xml:space="preserve">OD</w:t>
            </w:r>
          </w:p>
        </w:tc>
        <w:tc>
          <w:tcPr>
            <w:gridSpan w:val="2"/>
            <w:tcW w:w="843" w:type="dxa"/>
            <w:vAlign w:val="center"/>
            <w:vMerge w:val="restart"/>
          </w:tcPr>
          <w:p>
            <w:pPr>
              <w:pStyle w:val="0"/>
              <w:jc w:val="center"/>
            </w:pPr>
            <w:r>
              <w:rPr>
                <w:sz w:val="20"/>
              </w:rPr>
              <w:t xml:space="preserve">С</w:t>
            </w:r>
          </w:p>
        </w:tc>
        <w:tc>
          <w:tcPr>
            <w:gridSpan w:val="3"/>
            <w:tcW w:w="1304" w:type="dxa"/>
            <w:vAlign w:val="center"/>
            <w:vMerge w:val="restart"/>
          </w:tcPr>
          <w:p>
            <w:pPr>
              <w:pStyle w:val="0"/>
              <w:jc w:val="center"/>
            </w:pPr>
            <w:r>
              <w:rPr>
                <w:sz w:val="20"/>
              </w:rPr>
              <w:t xml:space="preserve">Н/С</w:t>
            </w:r>
          </w:p>
        </w:tc>
        <w:tc>
          <w:tcPr>
            <w:gridSpan w:val="2"/>
            <w:vMerge w:val="continue"/>
          </w:tcPr>
          <w:p/>
        </w:tc>
        <w:tc>
          <w:tcPr>
            <w:gridSpan w:val="8"/>
            <w:tcW w:w="3570" w:type="dxa"/>
            <w:vAlign w:val="center"/>
            <w:vMerge w:val="restart"/>
          </w:tcPr>
          <w:p>
            <w:pPr>
              <w:pStyle w:val="0"/>
              <w:jc w:val="center"/>
            </w:pPr>
            <w:r>
              <w:rPr>
                <w:sz w:val="20"/>
              </w:rPr>
              <w:t xml:space="preserve">Явное косоглазие</w:t>
            </w:r>
          </w:p>
        </w:tc>
        <w:tc>
          <w:tcPr>
            <w:tcW w:w="567" w:type="dxa"/>
            <w:vAlign w:val="center"/>
            <w:vMerge w:val="restart"/>
          </w:tcPr>
          <w:p>
            <w:pPr>
              <w:pStyle w:val="0"/>
              <w:jc w:val="center"/>
            </w:pPr>
            <w:r>
              <w:rPr>
                <w:sz w:val="20"/>
              </w:rPr>
              <w:t xml:space="preserve">С</w:t>
            </w:r>
          </w:p>
        </w:tc>
        <w:tc>
          <w:tcPr>
            <w:gridSpan w:val="2"/>
            <w:tcW w:w="1031" w:type="dxa"/>
            <w:vAlign w:val="center"/>
            <w:vMerge w:val="restart"/>
          </w:tcPr>
          <w:p>
            <w:pPr>
              <w:pStyle w:val="0"/>
              <w:jc w:val="center"/>
            </w:pPr>
            <w:r>
              <w:rPr>
                <w:sz w:val="20"/>
              </w:rPr>
              <w:t xml:space="preserve">Н/С</w:t>
            </w:r>
          </w:p>
        </w:tc>
      </w:tr>
      <w:tr>
        <w:tc>
          <w:tcPr>
            <w:tcW w:w="340" w:type="dxa"/>
          </w:tcPr>
          <w:p>
            <w:pPr>
              <w:pStyle w:val="0"/>
            </w:pPr>
            <w:r>
              <w:rPr>
                <w:sz w:val="20"/>
              </w:rPr>
            </w:r>
          </w:p>
        </w:tc>
        <w:tc>
          <w:tcPr>
            <w:gridSpan w:val="3"/>
            <w:vMerge w:val="continue"/>
          </w:tcPr>
          <w:p/>
        </w:tc>
        <w:tc>
          <w:tcPr>
            <w:gridSpan w:val="3"/>
            <w:tcW w:w="1510" w:type="dxa"/>
            <w:vAlign w:val="center"/>
          </w:tcPr>
          <w:p>
            <w:pPr>
              <w:pStyle w:val="0"/>
              <w:jc w:val="center"/>
            </w:pPr>
            <w:r>
              <w:rPr>
                <w:sz w:val="20"/>
              </w:rPr>
              <w:t xml:space="preserve">OS</w:t>
            </w:r>
          </w:p>
        </w:tc>
        <w:tc>
          <w:tcPr>
            <w:gridSpan w:val="2"/>
            <w:vMerge w:val="continue"/>
          </w:tcPr>
          <w:p/>
        </w:tc>
        <w:tc>
          <w:tcPr>
            <w:gridSpan w:val="3"/>
            <w:vMerge w:val="continue"/>
          </w:tcPr>
          <w:p/>
        </w:tc>
        <w:tc>
          <w:tcPr>
            <w:gridSpan w:val="2"/>
            <w:vMerge w:val="continue"/>
          </w:tcPr>
          <w:p/>
        </w:tc>
        <w:tc>
          <w:tcPr>
            <w:gridSpan w:val="8"/>
            <w:vMerge w:val="continue"/>
          </w:tcPr>
          <w:p/>
        </w:tc>
        <w:tc>
          <w:tcPr>
            <w:vMerge w:val="continue"/>
          </w:tcPr>
          <w:p/>
        </w:tc>
        <w:tc>
          <w:tcPr>
            <w:gridSpan w:val="2"/>
            <w:vMerge w:val="continue"/>
          </w:tcPr>
          <w:p/>
        </w:tc>
      </w:tr>
      <w:tr>
        <w:tc>
          <w:tcPr>
            <w:tcW w:w="340" w:type="dxa"/>
            <w:vAlign w:val="center"/>
          </w:tcPr>
          <w:p>
            <w:pPr>
              <w:pStyle w:val="0"/>
            </w:pPr>
            <w:r>
              <w:rPr>
                <w:sz w:val="20"/>
              </w:rPr>
            </w:r>
          </w:p>
        </w:tc>
        <w:tc>
          <w:tcPr>
            <w:gridSpan w:val="3"/>
            <w:tcW w:w="2369" w:type="dxa"/>
            <w:vAlign w:val="center"/>
            <w:vMerge w:val="restart"/>
          </w:tcPr>
          <w:p>
            <w:pPr>
              <w:pStyle w:val="0"/>
            </w:pPr>
            <w:r>
              <w:rPr>
                <w:sz w:val="20"/>
              </w:rPr>
              <w:t xml:space="preserve">Коррекция</w:t>
            </w:r>
          </w:p>
        </w:tc>
        <w:tc>
          <w:tcPr>
            <w:gridSpan w:val="3"/>
            <w:tcW w:w="1510" w:type="dxa"/>
            <w:vAlign w:val="center"/>
          </w:tcPr>
          <w:p>
            <w:pPr>
              <w:pStyle w:val="0"/>
              <w:jc w:val="center"/>
            </w:pPr>
            <w:r>
              <w:rPr>
                <w:sz w:val="20"/>
              </w:rPr>
              <w:t xml:space="preserve">OD</w:t>
            </w:r>
          </w:p>
        </w:tc>
        <w:tc>
          <w:tcPr>
            <w:gridSpan w:val="2"/>
            <w:tcW w:w="843" w:type="dxa"/>
            <w:vAlign w:val="center"/>
            <w:vMerge w:val="restart"/>
          </w:tcPr>
          <w:p>
            <w:pPr>
              <w:pStyle w:val="0"/>
              <w:jc w:val="center"/>
            </w:pPr>
            <w:r>
              <w:rPr>
                <w:sz w:val="20"/>
              </w:rPr>
              <w:t xml:space="preserve">С</w:t>
            </w:r>
          </w:p>
        </w:tc>
        <w:tc>
          <w:tcPr>
            <w:gridSpan w:val="3"/>
            <w:tcW w:w="1304" w:type="dxa"/>
            <w:vAlign w:val="center"/>
            <w:vMerge w:val="restart"/>
          </w:tcPr>
          <w:p>
            <w:pPr>
              <w:pStyle w:val="0"/>
              <w:jc w:val="center"/>
            </w:pPr>
            <w:r>
              <w:rPr>
                <w:sz w:val="20"/>
              </w:rPr>
              <w:t xml:space="preserve">Н/С</w:t>
            </w:r>
          </w:p>
        </w:tc>
        <w:tc>
          <w:tcPr>
            <w:gridSpan w:val="2"/>
            <w:vMerge w:val="continue"/>
          </w:tcPr>
          <w:p/>
        </w:tc>
        <w:tc>
          <w:tcPr>
            <w:gridSpan w:val="8"/>
            <w:tcW w:w="3570" w:type="dxa"/>
            <w:vAlign w:val="center"/>
            <w:vMerge w:val="restart"/>
          </w:tcPr>
          <w:p>
            <w:pPr>
              <w:pStyle w:val="0"/>
              <w:jc w:val="center"/>
            </w:pPr>
            <w:r>
              <w:rPr>
                <w:sz w:val="20"/>
              </w:rPr>
              <w:t xml:space="preserve">Измерение фории по Медоксу или синоптофору</w:t>
            </w:r>
          </w:p>
        </w:tc>
        <w:tc>
          <w:tcPr>
            <w:tcW w:w="567" w:type="dxa"/>
            <w:vAlign w:val="center"/>
            <w:vMerge w:val="restart"/>
          </w:tcPr>
          <w:p>
            <w:pPr>
              <w:pStyle w:val="0"/>
              <w:jc w:val="center"/>
            </w:pPr>
            <w:r>
              <w:rPr>
                <w:sz w:val="20"/>
              </w:rPr>
              <w:t xml:space="preserve">С</w:t>
            </w:r>
          </w:p>
        </w:tc>
        <w:tc>
          <w:tcPr>
            <w:gridSpan w:val="2"/>
            <w:tcW w:w="1031" w:type="dxa"/>
            <w:vAlign w:val="center"/>
            <w:vMerge w:val="restart"/>
          </w:tcPr>
          <w:p>
            <w:pPr>
              <w:pStyle w:val="0"/>
              <w:jc w:val="center"/>
            </w:pPr>
            <w:r>
              <w:rPr>
                <w:sz w:val="20"/>
              </w:rPr>
              <w:t xml:space="preserve">Н/С</w:t>
            </w:r>
          </w:p>
        </w:tc>
      </w:tr>
      <w:tr>
        <w:tc>
          <w:tcPr>
            <w:tcW w:w="340" w:type="dxa"/>
          </w:tcPr>
          <w:p>
            <w:pPr>
              <w:pStyle w:val="0"/>
            </w:pPr>
            <w:r>
              <w:rPr>
                <w:sz w:val="20"/>
              </w:rPr>
            </w:r>
          </w:p>
        </w:tc>
        <w:tc>
          <w:tcPr>
            <w:gridSpan w:val="3"/>
            <w:vMerge w:val="continue"/>
          </w:tcPr>
          <w:p/>
        </w:tc>
        <w:tc>
          <w:tcPr>
            <w:gridSpan w:val="3"/>
            <w:tcW w:w="1510" w:type="dxa"/>
            <w:vAlign w:val="center"/>
          </w:tcPr>
          <w:p>
            <w:pPr>
              <w:pStyle w:val="0"/>
              <w:jc w:val="center"/>
            </w:pPr>
            <w:r>
              <w:rPr>
                <w:sz w:val="20"/>
              </w:rPr>
              <w:t xml:space="preserve">OS</w:t>
            </w:r>
          </w:p>
        </w:tc>
        <w:tc>
          <w:tcPr>
            <w:gridSpan w:val="2"/>
            <w:vMerge w:val="continue"/>
          </w:tcPr>
          <w:p/>
        </w:tc>
        <w:tc>
          <w:tcPr>
            <w:gridSpan w:val="3"/>
            <w:vMerge w:val="continue"/>
          </w:tcPr>
          <w:p/>
        </w:tc>
        <w:tc>
          <w:tcPr>
            <w:gridSpan w:val="2"/>
            <w:vMerge w:val="continue"/>
          </w:tcPr>
          <w:p/>
        </w:tc>
        <w:tc>
          <w:tcPr>
            <w:gridSpan w:val="8"/>
            <w:vMerge w:val="continue"/>
          </w:tcPr>
          <w:p/>
        </w:tc>
        <w:tc>
          <w:tcPr>
            <w:vMerge w:val="continue"/>
          </w:tcPr>
          <w:p/>
        </w:tc>
        <w:tc>
          <w:tcPr>
            <w:gridSpan w:val="2"/>
            <w:vMerge w:val="continue"/>
          </w:tcPr>
          <w:p/>
        </w:tc>
      </w:tr>
      <w:tr>
        <w:tc>
          <w:tcPr>
            <w:tcW w:w="340" w:type="dxa"/>
            <w:vAlign w:val="center"/>
          </w:tcPr>
          <w:p>
            <w:pPr>
              <w:pStyle w:val="0"/>
            </w:pPr>
            <w:r>
              <w:rPr>
                <w:sz w:val="20"/>
              </w:rPr>
            </w:r>
          </w:p>
        </w:tc>
        <w:tc>
          <w:tcPr>
            <w:gridSpan w:val="3"/>
            <w:tcW w:w="2369" w:type="dxa"/>
            <w:vAlign w:val="center"/>
          </w:tcPr>
          <w:p>
            <w:pPr>
              <w:pStyle w:val="0"/>
            </w:pPr>
            <w:r>
              <w:rPr>
                <w:sz w:val="20"/>
              </w:rPr>
              <w:t xml:space="preserve">Острота зрения с коррекцией</w:t>
            </w:r>
          </w:p>
        </w:tc>
        <w:tc>
          <w:tcPr>
            <w:tcW w:w="567" w:type="dxa"/>
            <w:vAlign w:val="center"/>
          </w:tcPr>
          <w:p>
            <w:pPr>
              <w:pStyle w:val="0"/>
              <w:jc w:val="center"/>
            </w:pPr>
            <w:r>
              <w:rPr>
                <w:sz w:val="20"/>
              </w:rPr>
              <w:t xml:space="preserve">OD</w:t>
            </w:r>
          </w:p>
        </w:tc>
        <w:tc>
          <w:tcPr>
            <w:gridSpan w:val="2"/>
            <w:tcW w:w="943" w:type="dxa"/>
            <w:vAlign w:val="center"/>
          </w:tcPr>
          <w:p>
            <w:pPr>
              <w:pStyle w:val="0"/>
              <w:jc w:val="center"/>
            </w:pPr>
            <w:r>
              <w:rPr>
                <w:sz w:val="20"/>
              </w:rPr>
              <w:t xml:space="preserve">OS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7"/>
            <w:tcW w:w="2934" w:type="dxa"/>
            <w:vAlign w:val="center"/>
          </w:tcPr>
          <w:p>
            <w:pPr>
              <w:pStyle w:val="0"/>
            </w:pPr>
            <w:r>
              <w:rPr>
                <w:sz w:val="20"/>
              </w:rPr>
              <w:t xml:space="preserve">Оптические среды</w:t>
            </w:r>
          </w:p>
        </w:tc>
        <w:tc>
          <w:tcPr>
            <w:tcW w:w="694" w:type="dxa"/>
            <w:vAlign w:val="center"/>
          </w:tcPr>
          <w:p>
            <w:pPr>
              <w:pStyle w:val="0"/>
              <w:jc w:val="center"/>
            </w:pPr>
            <w:r>
              <w:rPr>
                <w:sz w:val="20"/>
              </w:rPr>
              <w:t xml:space="preserve">OD</w:t>
            </w:r>
          </w:p>
        </w:tc>
        <w:tc>
          <w:tcPr>
            <w:gridSpan w:val="2"/>
            <w:tcW w:w="792" w:type="dxa"/>
            <w:vAlign w:val="center"/>
          </w:tcPr>
          <w:p>
            <w:pPr>
              <w:pStyle w:val="0"/>
              <w:jc w:val="center"/>
            </w:pPr>
            <w:r>
              <w:rPr>
                <w:sz w:val="20"/>
              </w:rPr>
              <w:t xml:space="preserve">OS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Ближайшая точка ясного зрения</w:t>
            </w:r>
          </w:p>
        </w:tc>
        <w:tc>
          <w:tcPr>
            <w:tcW w:w="567" w:type="dxa"/>
            <w:vAlign w:val="center"/>
          </w:tcPr>
          <w:p>
            <w:pPr>
              <w:pStyle w:val="0"/>
              <w:jc w:val="center"/>
            </w:pPr>
            <w:r>
              <w:rPr>
                <w:sz w:val="20"/>
              </w:rPr>
              <w:t xml:space="preserve">OD</w:t>
            </w:r>
          </w:p>
        </w:tc>
        <w:tc>
          <w:tcPr>
            <w:gridSpan w:val="2"/>
            <w:tcW w:w="943" w:type="dxa"/>
            <w:vAlign w:val="center"/>
          </w:tcPr>
          <w:p>
            <w:pPr>
              <w:pStyle w:val="0"/>
              <w:jc w:val="center"/>
            </w:pPr>
            <w:r>
              <w:rPr>
                <w:sz w:val="20"/>
              </w:rPr>
              <w:t xml:space="preserve">OS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7"/>
            <w:tcW w:w="2934" w:type="dxa"/>
            <w:vAlign w:val="center"/>
          </w:tcPr>
          <w:p>
            <w:pPr>
              <w:pStyle w:val="0"/>
            </w:pPr>
            <w:r>
              <w:rPr>
                <w:sz w:val="20"/>
              </w:rPr>
              <w:t xml:space="preserve">Глазное дно</w:t>
            </w:r>
          </w:p>
        </w:tc>
        <w:tc>
          <w:tcPr>
            <w:tcW w:w="694" w:type="dxa"/>
            <w:vAlign w:val="center"/>
          </w:tcPr>
          <w:p>
            <w:pPr>
              <w:pStyle w:val="0"/>
              <w:jc w:val="center"/>
            </w:pPr>
            <w:r>
              <w:rPr>
                <w:sz w:val="20"/>
              </w:rPr>
              <w:t xml:space="preserve">OD</w:t>
            </w:r>
          </w:p>
        </w:tc>
        <w:tc>
          <w:tcPr>
            <w:gridSpan w:val="2"/>
            <w:tcW w:w="792" w:type="dxa"/>
            <w:vAlign w:val="center"/>
          </w:tcPr>
          <w:p>
            <w:pPr>
              <w:pStyle w:val="0"/>
              <w:jc w:val="center"/>
            </w:pPr>
            <w:r>
              <w:rPr>
                <w:sz w:val="20"/>
              </w:rPr>
              <w:t xml:space="preserve">OS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Бинокулярное зрение</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7"/>
            <w:tcW w:w="2934" w:type="dxa"/>
            <w:vAlign w:val="center"/>
          </w:tcPr>
          <w:p>
            <w:pPr>
              <w:pStyle w:val="0"/>
            </w:pPr>
            <w:r>
              <w:rPr>
                <w:sz w:val="20"/>
              </w:rPr>
              <w:t xml:space="preserve">Зрачки</w:t>
            </w:r>
          </w:p>
        </w:tc>
        <w:tc>
          <w:tcPr>
            <w:tcW w:w="694" w:type="dxa"/>
            <w:vAlign w:val="center"/>
          </w:tcPr>
          <w:p>
            <w:pPr>
              <w:pStyle w:val="0"/>
              <w:jc w:val="center"/>
            </w:pPr>
            <w:r>
              <w:rPr>
                <w:sz w:val="20"/>
              </w:rPr>
              <w:t xml:space="preserve">OD</w:t>
            </w:r>
          </w:p>
        </w:tc>
        <w:tc>
          <w:tcPr>
            <w:gridSpan w:val="2"/>
            <w:tcW w:w="792" w:type="dxa"/>
            <w:vAlign w:val="center"/>
          </w:tcPr>
          <w:p>
            <w:pPr>
              <w:pStyle w:val="0"/>
              <w:jc w:val="center"/>
            </w:pPr>
            <w:r>
              <w:rPr>
                <w:sz w:val="20"/>
              </w:rPr>
              <w:t xml:space="preserve">OS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Темновая адаптация/чувствительность к ослеплению</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7"/>
            <w:tcW w:w="2934" w:type="dxa"/>
            <w:vAlign w:val="center"/>
          </w:tcPr>
          <w:p>
            <w:pPr>
              <w:pStyle w:val="0"/>
            </w:pPr>
            <w:r>
              <w:rPr>
                <w:sz w:val="20"/>
              </w:rPr>
              <w:t xml:space="preserve">Рефлекторная реакция зрачков</w:t>
            </w:r>
          </w:p>
        </w:tc>
        <w:tc>
          <w:tcPr>
            <w:tcW w:w="694" w:type="dxa"/>
            <w:vAlign w:val="center"/>
          </w:tcPr>
          <w:p>
            <w:pPr>
              <w:pStyle w:val="0"/>
              <w:jc w:val="center"/>
            </w:pPr>
            <w:r>
              <w:rPr>
                <w:sz w:val="20"/>
              </w:rPr>
              <w:t xml:space="preserve">OD</w:t>
            </w:r>
          </w:p>
        </w:tc>
        <w:tc>
          <w:tcPr>
            <w:gridSpan w:val="2"/>
            <w:tcW w:w="792" w:type="dxa"/>
            <w:vAlign w:val="center"/>
          </w:tcPr>
          <w:p>
            <w:pPr>
              <w:pStyle w:val="0"/>
              <w:jc w:val="center"/>
            </w:pPr>
            <w:r>
              <w:rPr>
                <w:sz w:val="20"/>
              </w:rPr>
              <w:t xml:space="preserve">OS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Ближайшая точка конвергенции</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7"/>
            <w:tcW w:w="2934" w:type="dxa"/>
            <w:vAlign w:val="center"/>
          </w:tcPr>
          <w:p>
            <w:pPr>
              <w:pStyle w:val="0"/>
            </w:pPr>
            <w:r>
              <w:rPr>
                <w:sz w:val="20"/>
              </w:rPr>
              <w:t xml:space="preserve">Веки</w:t>
            </w:r>
          </w:p>
        </w:tc>
        <w:tc>
          <w:tcPr>
            <w:tcW w:w="694" w:type="dxa"/>
            <w:vAlign w:val="center"/>
          </w:tcPr>
          <w:p>
            <w:pPr>
              <w:pStyle w:val="0"/>
              <w:jc w:val="center"/>
            </w:pPr>
            <w:r>
              <w:rPr>
                <w:sz w:val="20"/>
              </w:rPr>
              <w:t xml:space="preserve">OD</w:t>
            </w:r>
          </w:p>
        </w:tc>
        <w:tc>
          <w:tcPr>
            <w:gridSpan w:val="2"/>
            <w:tcW w:w="792" w:type="dxa"/>
            <w:vAlign w:val="center"/>
          </w:tcPr>
          <w:p>
            <w:pPr>
              <w:pStyle w:val="0"/>
              <w:jc w:val="center"/>
            </w:pPr>
            <w:r>
              <w:rPr>
                <w:sz w:val="20"/>
              </w:rPr>
              <w:t xml:space="preserve">OS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Конъюнктива</w:t>
            </w:r>
          </w:p>
        </w:tc>
        <w:tc>
          <w:tcPr>
            <w:tcW w:w="567" w:type="dxa"/>
            <w:vAlign w:val="center"/>
          </w:tcPr>
          <w:p>
            <w:pPr>
              <w:pStyle w:val="0"/>
              <w:jc w:val="center"/>
            </w:pPr>
            <w:r>
              <w:rPr>
                <w:sz w:val="20"/>
              </w:rPr>
              <w:t xml:space="preserve">OD</w:t>
            </w:r>
          </w:p>
        </w:tc>
        <w:tc>
          <w:tcPr>
            <w:gridSpan w:val="2"/>
            <w:tcW w:w="943" w:type="dxa"/>
            <w:vAlign w:val="center"/>
          </w:tcPr>
          <w:p>
            <w:pPr>
              <w:pStyle w:val="0"/>
              <w:jc w:val="center"/>
            </w:pPr>
            <w:r>
              <w:rPr>
                <w:sz w:val="20"/>
              </w:rPr>
              <w:t xml:space="preserve">OS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7"/>
            <w:tcW w:w="2934" w:type="dxa"/>
            <w:vAlign w:val="center"/>
          </w:tcPr>
          <w:p>
            <w:pPr>
              <w:pStyle w:val="0"/>
            </w:pPr>
            <w:r>
              <w:rPr>
                <w:sz w:val="20"/>
              </w:rPr>
              <w:t xml:space="preserve">Внутриглазное давление</w:t>
            </w:r>
          </w:p>
        </w:tc>
        <w:tc>
          <w:tcPr>
            <w:tcW w:w="694" w:type="dxa"/>
            <w:vAlign w:val="center"/>
          </w:tcPr>
          <w:p>
            <w:pPr>
              <w:pStyle w:val="0"/>
              <w:jc w:val="center"/>
            </w:pPr>
            <w:r>
              <w:rPr>
                <w:sz w:val="20"/>
              </w:rPr>
              <w:t xml:space="preserve">OD</w:t>
            </w:r>
          </w:p>
        </w:tc>
        <w:tc>
          <w:tcPr>
            <w:gridSpan w:val="2"/>
            <w:tcW w:w="792" w:type="dxa"/>
            <w:vAlign w:val="center"/>
          </w:tcPr>
          <w:p>
            <w:pPr>
              <w:pStyle w:val="0"/>
              <w:jc w:val="center"/>
            </w:pPr>
            <w:r>
              <w:rPr>
                <w:sz w:val="20"/>
              </w:rPr>
              <w:t xml:space="preserve">OS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vAlign w:val="center"/>
          </w:tcPr>
          <w:p>
            <w:pPr>
              <w:pStyle w:val="0"/>
            </w:pPr>
            <w:r>
              <w:rPr>
                <w:sz w:val="20"/>
              </w:rPr>
              <w:t xml:space="preserve">Слезопродукция</w:t>
            </w:r>
          </w:p>
        </w:tc>
        <w:tc>
          <w:tcPr>
            <w:tcW w:w="567" w:type="dxa"/>
            <w:vAlign w:val="center"/>
          </w:tcPr>
          <w:p>
            <w:pPr>
              <w:pStyle w:val="0"/>
              <w:jc w:val="center"/>
            </w:pPr>
            <w:r>
              <w:rPr>
                <w:sz w:val="20"/>
              </w:rPr>
              <w:t xml:space="preserve">OD</w:t>
            </w:r>
          </w:p>
        </w:tc>
        <w:tc>
          <w:tcPr>
            <w:gridSpan w:val="2"/>
            <w:tcW w:w="943" w:type="dxa"/>
            <w:vAlign w:val="center"/>
          </w:tcPr>
          <w:p>
            <w:pPr>
              <w:pStyle w:val="0"/>
              <w:jc w:val="center"/>
            </w:pPr>
            <w:r>
              <w:rPr>
                <w:sz w:val="20"/>
              </w:rPr>
              <w:t xml:space="preserve">OS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5"/>
            <w:tcW w:w="2254" w:type="dxa"/>
            <w:vAlign w:val="center"/>
          </w:tcPr>
          <w:p>
            <w:pPr>
              <w:pStyle w:val="0"/>
            </w:pPr>
            <w:r>
              <w:rPr>
                <w:sz w:val="20"/>
              </w:rPr>
              <w:t xml:space="preserve">Периметрия</w:t>
            </w:r>
          </w:p>
        </w:tc>
        <w:tc>
          <w:tcPr>
            <w:gridSpan w:val="5"/>
            <w:tcW w:w="2166"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vMerge w:val="restart"/>
          </w:tcPr>
          <w:p>
            <w:pPr>
              <w:pStyle w:val="0"/>
            </w:pPr>
            <w:r>
              <w:rPr>
                <w:sz w:val="20"/>
              </w:rPr>
            </w:r>
          </w:p>
        </w:tc>
        <w:tc>
          <w:tcPr>
            <w:gridSpan w:val="3"/>
            <w:tcW w:w="2369" w:type="dxa"/>
            <w:vAlign w:val="center"/>
            <w:tcBorders>
              <w:bottom w:val="nil"/>
              <w:right w:val="nil"/>
            </w:tcBorders>
          </w:tcPr>
          <w:p>
            <w:pPr>
              <w:pStyle w:val="0"/>
            </w:pPr>
            <w:r>
              <w:rPr>
                <w:sz w:val="20"/>
              </w:rPr>
              <w:t xml:space="preserve">дополнительно:</w:t>
            </w:r>
          </w:p>
        </w:tc>
        <w:tc>
          <w:tcPr>
            <w:gridSpan w:val="16"/>
            <w:tcW w:w="7285" w:type="dxa"/>
            <w:vAlign w:val="center"/>
            <w:tcBorders>
              <w:left w:val="nil"/>
              <w:bottom w:val="nil"/>
            </w:tcBorders>
          </w:tcPr>
          <w:p>
            <w:pPr>
              <w:pStyle w:val="0"/>
            </w:pPr>
            <w:r>
              <w:rPr>
                <w:sz w:val="20"/>
              </w:rPr>
            </w:r>
          </w:p>
        </w:tc>
        <w:tc>
          <w:tcPr>
            <w:gridSpan w:val="3"/>
            <w:tcW w:w="1359" w:type="dxa"/>
            <w:vAlign w:val="center"/>
            <w:tcBorders>
              <w:bottom w:val="nil"/>
            </w:tcBorders>
            <w:vMerge w:val="restart"/>
          </w:tcPr>
          <w:p>
            <w:pPr>
              <w:pStyle w:val="0"/>
              <w:jc w:val="center"/>
            </w:pPr>
            <w:r>
              <w:rPr>
                <w:sz w:val="20"/>
              </w:rPr>
              <w:t xml:space="preserve">С</w:t>
            </w:r>
          </w:p>
        </w:tc>
        <w:tc>
          <w:tcPr>
            <w:gridSpan w:val="2"/>
            <w:tcW w:w="1031" w:type="dxa"/>
            <w:vAlign w:val="center"/>
            <w:tcBorders>
              <w:bottom w:val="nil"/>
            </w:tcBorders>
            <w:vMerge w:val="restart"/>
          </w:tcPr>
          <w:p>
            <w:pPr>
              <w:pStyle w:val="0"/>
              <w:jc w:val="center"/>
            </w:pPr>
            <w:r>
              <w:rPr>
                <w:sz w:val="20"/>
              </w:rPr>
              <w:t xml:space="preserve">Н/С</w:t>
            </w:r>
          </w:p>
        </w:tc>
      </w:tr>
      <w:tr>
        <w:tblPrEx>
          <w:tblBorders>
            <w:insideH w:val="nil"/>
          </w:tblBorders>
        </w:tblPrEx>
        <w:tc>
          <w:tcPr>
            <w:vMerge w:val="continue"/>
          </w:tcPr>
          <w:p/>
        </w:tc>
        <w:tc>
          <w:tcPr>
            <w:gridSpan w:val="3"/>
            <w:tcW w:w="2369" w:type="dxa"/>
            <w:vAlign w:val="center"/>
            <w:tcBorders>
              <w:top w:val="nil"/>
              <w:right w:val="nil"/>
            </w:tcBorders>
          </w:tcPr>
          <w:p>
            <w:pPr>
              <w:pStyle w:val="0"/>
            </w:pPr>
            <w:r>
              <w:rPr>
                <w:sz w:val="20"/>
              </w:rPr>
            </w:r>
          </w:p>
        </w:tc>
        <w:tc>
          <w:tcPr>
            <w:gridSpan w:val="16"/>
            <w:tcW w:w="7285" w:type="dxa"/>
            <w:vAlign w:val="center"/>
            <w:tcBorders>
              <w:top w:val="nil"/>
              <w:left w:val="nil"/>
            </w:tcBorders>
          </w:tcPr>
          <w:p>
            <w:pPr>
              <w:pStyle w:val="0"/>
              <w:jc w:val="center"/>
            </w:pPr>
            <w:r>
              <w:rPr>
                <w:sz w:val="20"/>
              </w:rPr>
              <w:t xml:space="preserve">описываются дополнительные сведения, рекомендации, указывается графа и статья соответствия/несоответствия (Н/С) требованиям по состоянию здоровья</w:t>
            </w:r>
          </w:p>
        </w:tc>
        <w:tc>
          <w:tcPr>
            <w:gridSpan w:val="3"/>
            <w:tcBorders>
              <w:bottom w:val="nil"/>
            </w:tcBorders>
            <w:vMerge w:val="continue"/>
          </w:tcPr>
          <w:p/>
        </w:tc>
        <w:tc>
          <w:tcPr>
            <w:gridSpan w:val="2"/>
            <w:tcBorders>
              <w:bottom w:val="nil"/>
            </w:tcBorders>
            <w:vMerge w:val="continue"/>
          </w:tcPr>
          <w:p/>
        </w:tc>
      </w:tr>
      <w:tr>
        <w:tblPrEx>
          <w:tblBorders>
            <w:insideH w:val="nil"/>
          </w:tblBorders>
        </w:tblPrEx>
        <w:tc>
          <w:tcPr>
            <w:tcW w:w="340" w:type="dxa"/>
            <w:vAlign w:val="center"/>
            <w:vMerge w:val="restart"/>
          </w:tcPr>
          <w:p>
            <w:pPr>
              <w:pStyle w:val="0"/>
            </w:pPr>
            <w:r>
              <w:rPr>
                <w:sz w:val="20"/>
              </w:rPr>
            </w:r>
          </w:p>
        </w:tc>
        <w:tc>
          <w:tcPr>
            <w:gridSpan w:val="3"/>
            <w:tcW w:w="2369" w:type="dxa"/>
            <w:vAlign w:val="center"/>
            <w:tcBorders>
              <w:bottom w:val="nil"/>
              <w:right w:val="nil"/>
            </w:tcBorders>
          </w:tcPr>
          <w:p>
            <w:pPr>
              <w:pStyle w:val="0"/>
            </w:pPr>
            <w:r>
              <w:rPr>
                <w:sz w:val="20"/>
              </w:rPr>
              <w:t xml:space="preserve">Диагноз:</w:t>
            </w:r>
          </w:p>
        </w:tc>
        <w:tc>
          <w:tcPr>
            <w:gridSpan w:val="16"/>
            <w:tcW w:w="7285" w:type="dxa"/>
            <w:vAlign w:val="center"/>
            <w:tcBorders>
              <w:left w:val="nil"/>
              <w:bottom w:val="nil"/>
            </w:tcBorders>
          </w:tcPr>
          <w:p>
            <w:pPr>
              <w:pStyle w:val="0"/>
            </w:pPr>
            <w:r>
              <w:rPr>
                <w:sz w:val="20"/>
              </w:rPr>
            </w:r>
          </w:p>
        </w:tc>
        <w:tc>
          <w:tcPr>
            <w:gridSpan w:val="3"/>
            <w:tcW w:w="1359" w:type="dxa"/>
            <w:tcBorders>
              <w:top w:val="nil"/>
            </w:tcBorders>
            <w:vMerge w:val="restart"/>
          </w:tcPr>
          <w:p>
            <w:pPr>
              <w:pStyle w:val="0"/>
            </w:pPr>
            <w:r>
              <w:rPr>
                <w:sz w:val="20"/>
              </w:rPr>
            </w:r>
          </w:p>
        </w:tc>
        <w:tc>
          <w:tcPr>
            <w:gridSpan w:val="2"/>
            <w:tcW w:w="1031" w:type="dxa"/>
            <w:tcBorders>
              <w:top w:val="nil"/>
            </w:tcBorders>
            <w:vMerge w:val="restart"/>
          </w:tcPr>
          <w:p>
            <w:pPr>
              <w:pStyle w:val="0"/>
            </w:pPr>
            <w:r>
              <w:rPr>
                <w:sz w:val="20"/>
              </w:rPr>
            </w:r>
          </w:p>
        </w:tc>
      </w:tr>
      <w:tr>
        <w:tc>
          <w:tcPr>
            <w:vMerge w:val="continue"/>
          </w:tcPr>
          <w:p/>
        </w:tc>
        <w:tc>
          <w:tcPr>
            <w:gridSpan w:val="3"/>
            <w:tcW w:w="2369" w:type="dxa"/>
            <w:vAlign w:val="center"/>
            <w:tcBorders>
              <w:top w:val="nil"/>
              <w:right w:val="nil"/>
            </w:tcBorders>
          </w:tcPr>
          <w:p>
            <w:pPr>
              <w:pStyle w:val="0"/>
            </w:pPr>
            <w:r>
              <w:rPr>
                <w:sz w:val="20"/>
              </w:rPr>
            </w:r>
          </w:p>
        </w:tc>
        <w:tc>
          <w:tcPr>
            <w:gridSpan w:val="16"/>
            <w:tcW w:w="7285" w:type="dxa"/>
            <w:vAlign w:val="center"/>
            <w:tcBorders>
              <w:top w:val="nil"/>
              <w:left w:val="nil"/>
            </w:tcBorders>
          </w:tcPr>
          <w:p>
            <w:pPr>
              <w:pStyle w:val="0"/>
              <w:jc w:val="center"/>
            </w:pPr>
            <w:r>
              <w:rPr>
                <w:sz w:val="20"/>
              </w:rPr>
              <w:t xml:space="preserve">указывается полный клинический диагноз</w:t>
            </w:r>
          </w:p>
        </w:tc>
        <w:tc>
          <w:tcPr>
            <w:gridSpan w:val="3"/>
            <w:tcBorders>
              <w:top w:val="nil"/>
            </w:tcBorders>
            <w:vMerge w:val="continue"/>
          </w:tcPr>
          <w:p/>
        </w:tc>
        <w:tc>
          <w:tcPr>
            <w:gridSpan w:val="2"/>
            <w:tcBorders>
              <w:top w:val="nil"/>
            </w:tcBorders>
            <w:vMerge w:val="continue"/>
          </w:tcPr>
          <w:p/>
        </w:tc>
      </w:tr>
      <w:tr>
        <w:tc>
          <w:tcPr>
            <w:tcW w:w="340" w:type="dxa"/>
            <w:vAlign w:val="center"/>
            <w:vMerge w:val="restart"/>
          </w:tcPr>
          <w:p>
            <w:pPr>
              <w:pStyle w:val="0"/>
            </w:pPr>
            <w:r>
              <w:rPr>
                <w:sz w:val="20"/>
              </w:rPr>
            </w:r>
          </w:p>
        </w:tc>
        <w:tc>
          <w:tcPr>
            <w:gridSpan w:val="3"/>
            <w:tcW w:w="2369" w:type="dxa"/>
            <w:vAlign w:val="center"/>
            <w:tcBorders>
              <w:bottom w:val="nil"/>
              <w:right w:val="nil"/>
            </w:tcBorders>
          </w:tcPr>
          <w:p>
            <w:pPr>
              <w:pStyle w:val="0"/>
            </w:pPr>
            <w:r>
              <w:rPr>
                <w:sz w:val="20"/>
              </w:rPr>
              <w:t xml:space="preserve">Код </w:t>
            </w:r>
            <w:hyperlink w:history="0" r:id="rId17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6"/>
            <w:tcW w:w="7285" w:type="dxa"/>
            <w:vAlign w:val="center"/>
            <w:tcBorders>
              <w:left w:val="nil"/>
              <w:bottom w:val="nil"/>
            </w:tcBorders>
          </w:tcPr>
          <w:p>
            <w:pPr>
              <w:pStyle w:val="0"/>
            </w:pPr>
            <w:r>
              <w:rPr>
                <w:sz w:val="20"/>
              </w:rPr>
            </w:r>
          </w:p>
        </w:tc>
        <w:tc>
          <w:tcPr>
            <w:gridSpan w:val="5"/>
            <w:tcW w:w="2390" w:type="dxa"/>
            <w:vAlign w:val="center"/>
            <w:vMerge w:val="restart"/>
          </w:tcPr>
          <w:p>
            <w:pPr>
              <w:pStyle w:val="0"/>
              <w:jc w:val="center"/>
            </w:pPr>
            <w:r>
              <w:rPr>
                <w:sz w:val="20"/>
              </w:rPr>
              <w:t xml:space="preserve">Фамилия, инициалы, подпись, печать врача</w:t>
            </w:r>
          </w:p>
        </w:tc>
      </w:tr>
      <w:tr>
        <w:tc>
          <w:tcPr>
            <w:vMerge w:val="continue"/>
          </w:tcPr>
          <w:p/>
        </w:tc>
        <w:tc>
          <w:tcPr>
            <w:gridSpan w:val="3"/>
            <w:tcW w:w="2369" w:type="dxa"/>
            <w:vAlign w:val="center"/>
            <w:tcBorders>
              <w:top w:val="nil"/>
              <w:right w:val="nil"/>
            </w:tcBorders>
          </w:tcPr>
          <w:p>
            <w:pPr>
              <w:pStyle w:val="0"/>
            </w:pPr>
            <w:r>
              <w:rPr>
                <w:sz w:val="20"/>
              </w:rPr>
            </w:r>
          </w:p>
        </w:tc>
        <w:tc>
          <w:tcPr>
            <w:gridSpan w:val="16"/>
            <w:tcW w:w="7285" w:type="dxa"/>
            <w:vAlign w:val="center"/>
            <w:tcBorders>
              <w:top w:val="nil"/>
              <w:left w:val="nil"/>
            </w:tcBorders>
          </w:tcPr>
          <w:p>
            <w:pPr>
              <w:pStyle w:val="0"/>
              <w:jc w:val="center"/>
            </w:pPr>
            <w:r>
              <w:rPr>
                <w:sz w:val="20"/>
              </w:rPr>
              <w:t xml:space="preserve">указываются коды всех выявленных заболеваний и состояний</w:t>
            </w:r>
          </w:p>
        </w:tc>
        <w:tc>
          <w:tcPr>
            <w:gridSpan w:val="5"/>
            <w:vMerge w:val="continue"/>
          </w:tcPr>
          <w:p/>
        </w:tc>
      </w:tr>
      <w:tr>
        <w:tblPrEx>
          <w:tblBorders>
            <w:insideV w:val="nil"/>
          </w:tblBorders>
        </w:tblPrEx>
        <w:tc>
          <w:tcPr>
            <w:tcW w:w="340" w:type="dxa"/>
            <w:vAlign w:val="center"/>
            <w:tcBorders>
              <w:left w:val="single" w:sz="4"/>
              <w:right w:val="single" w:sz="4"/>
            </w:tcBorders>
          </w:tcPr>
          <w:p>
            <w:pPr>
              <w:pStyle w:val="0"/>
            </w:pPr>
            <w:r>
              <w:rPr>
                <w:sz w:val="20"/>
              </w:rPr>
            </w:r>
          </w:p>
        </w:tc>
        <w:tc>
          <w:tcPr>
            <w:gridSpan w:val="19"/>
            <w:tcW w:w="9654" w:type="dxa"/>
            <w:vAlign w:val="center"/>
            <w:tcBorders>
              <w:left w:val="single" w:sz="4"/>
            </w:tcBorders>
          </w:tcPr>
          <w:p>
            <w:pPr>
              <w:pStyle w:val="0"/>
              <w:jc w:val="center"/>
            </w:pPr>
            <w:r>
              <w:rPr>
                <w:sz w:val="20"/>
              </w:rPr>
              <w:t xml:space="preserve">Данные обследования и функциональной оценки ЛОР-органов</w:t>
            </w:r>
          </w:p>
        </w:tc>
        <w:tc>
          <w:tcPr>
            <w:gridSpan w:val="5"/>
            <w:tcW w:w="2390" w:type="dxa"/>
            <w:vAlign w:val="center"/>
            <w:tcBorders>
              <w:right w:val="single" w:sz="4"/>
            </w:tcBorders>
          </w:tcPr>
          <w:p>
            <w:pPr>
              <w:pStyle w:val="0"/>
              <w:jc w:val="right"/>
            </w:pPr>
            <w:r>
              <w:rPr>
                <w:sz w:val="20"/>
              </w:rPr>
              <w:t xml:space="preserve">Дата осмотра</w:t>
            </w:r>
          </w:p>
        </w:tc>
      </w:tr>
      <w:tr>
        <w:tc>
          <w:tcPr>
            <w:tcW w:w="340" w:type="dxa"/>
            <w:vAlign w:val="center"/>
            <w:vMerge w:val="restart"/>
          </w:tcPr>
          <w:p>
            <w:pPr>
              <w:pStyle w:val="0"/>
            </w:pPr>
            <w:r>
              <w:rPr>
                <w:sz w:val="20"/>
              </w:rPr>
            </w:r>
          </w:p>
        </w:tc>
        <w:tc>
          <w:tcPr>
            <w:gridSpan w:val="24"/>
            <w:tcW w:w="12044" w:type="dxa"/>
            <w:vAlign w:val="center"/>
            <w:tcBorders>
              <w:bottom w:val="nil"/>
            </w:tcBorders>
          </w:tcPr>
          <w:p>
            <w:pPr>
              <w:pStyle w:val="0"/>
            </w:pPr>
            <w:r>
              <w:rPr>
                <w:sz w:val="20"/>
              </w:rPr>
              <w:t xml:space="preserve">Жалобы, анамнез:</w:t>
            </w:r>
          </w:p>
        </w:tc>
      </w:tr>
      <w:tr>
        <w:tc>
          <w:tcPr>
            <w:vMerge w:val="continue"/>
          </w:tcPr>
          <w:p/>
        </w:tc>
        <w:tc>
          <w:tcPr>
            <w:gridSpan w:val="24"/>
            <w:tcW w:w="12044" w:type="dxa"/>
            <w:vAlign w:val="center"/>
            <w:tcBorders>
              <w:top w:val="nil"/>
            </w:tcBorders>
          </w:tcPr>
          <w:p>
            <w:pPr>
              <w:pStyle w:val="0"/>
            </w:pPr>
            <w:r>
              <w:rPr>
                <w:sz w:val="20"/>
              </w:rPr>
            </w:r>
          </w:p>
        </w:tc>
      </w:tr>
      <w:tr>
        <w:tc>
          <w:tcPr>
            <w:tcW w:w="340" w:type="dxa"/>
            <w:vAlign w:val="center"/>
          </w:tcPr>
          <w:p>
            <w:pPr>
              <w:pStyle w:val="0"/>
            </w:pPr>
            <w:r>
              <w:rPr>
                <w:sz w:val="20"/>
              </w:rPr>
            </w:r>
          </w:p>
        </w:tc>
        <w:tc>
          <w:tcPr>
            <w:tcW w:w="794" w:type="dxa"/>
            <w:vAlign w:val="center"/>
            <w:tcBorders>
              <w:bottom w:val="nil"/>
            </w:tcBorders>
          </w:tcPr>
          <w:p>
            <w:pPr>
              <w:pStyle w:val="0"/>
              <w:jc w:val="center"/>
            </w:pPr>
            <w:r>
              <w:rPr>
                <w:sz w:val="20"/>
              </w:rPr>
              <w:t xml:space="preserve">Нос</w:t>
            </w:r>
          </w:p>
        </w:tc>
        <w:tc>
          <w:tcPr>
            <w:gridSpan w:val="2"/>
            <w:tcW w:w="1575" w:type="dxa"/>
            <w:vAlign w:val="center"/>
          </w:tcPr>
          <w:p>
            <w:pPr>
              <w:pStyle w:val="0"/>
              <w:jc w:val="center"/>
            </w:pPr>
            <w:r>
              <w:rPr>
                <w:sz w:val="20"/>
              </w:rPr>
              <w:t xml:space="preserve">Носовая перегородка</w:t>
            </w:r>
          </w:p>
        </w:tc>
        <w:tc>
          <w:tcPr>
            <w:gridSpan w:val="3"/>
            <w:tcW w:w="1510" w:type="dxa"/>
            <w:vAlign w:val="center"/>
          </w:tcPr>
          <w:p>
            <w:pPr>
              <w:pStyle w:val="0"/>
              <w:jc w:val="center"/>
            </w:pPr>
            <w:r>
              <w:rPr>
                <w:sz w:val="20"/>
              </w:rPr>
              <w:t xml:space="preserve">описание</w:t>
            </w:r>
          </w:p>
        </w:tc>
        <w:tc>
          <w:tcPr>
            <w:gridSpan w:val="4"/>
            <w:tcW w:w="1807" w:type="dxa"/>
            <w:vAlign w:val="center"/>
          </w:tcPr>
          <w:p>
            <w:pPr>
              <w:pStyle w:val="0"/>
              <w:jc w:val="center"/>
            </w:pPr>
            <w:r>
              <w:rPr>
                <w:sz w:val="20"/>
              </w:rPr>
              <w:t xml:space="preserve">Носовое дыхание</w:t>
            </w:r>
          </w:p>
        </w:tc>
        <w:tc>
          <w:tcPr>
            <w:gridSpan w:val="3"/>
            <w:tcW w:w="1190" w:type="dxa"/>
            <w:vAlign w:val="center"/>
          </w:tcPr>
          <w:p>
            <w:pPr>
              <w:pStyle w:val="0"/>
              <w:jc w:val="center"/>
            </w:pPr>
            <w:r>
              <w:rPr>
                <w:sz w:val="20"/>
              </w:rPr>
              <w:t xml:space="preserve">С</w:t>
            </w:r>
          </w:p>
        </w:tc>
        <w:tc>
          <w:tcPr>
            <w:tcW w:w="610" w:type="dxa"/>
            <w:vAlign w:val="center"/>
          </w:tcPr>
          <w:p>
            <w:pPr>
              <w:pStyle w:val="0"/>
              <w:jc w:val="center"/>
            </w:pPr>
            <w:r>
              <w:rPr>
                <w:sz w:val="20"/>
              </w:rPr>
              <w:t xml:space="preserve">Н/С</w:t>
            </w:r>
          </w:p>
        </w:tc>
        <w:tc>
          <w:tcPr>
            <w:gridSpan w:val="6"/>
            <w:tcW w:w="2588" w:type="dxa"/>
            <w:vAlign w:val="center"/>
          </w:tcPr>
          <w:p>
            <w:pPr>
              <w:pStyle w:val="0"/>
              <w:jc w:val="center"/>
            </w:pPr>
            <w:r>
              <w:rPr>
                <w:sz w:val="20"/>
              </w:rPr>
              <w:t xml:space="preserve">Характер голоса, функция речи</w:t>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tcW w:w="794" w:type="dxa"/>
            <w:vAlign w:val="center"/>
            <w:tcBorders>
              <w:top w:val="nil"/>
            </w:tcBorders>
            <w:vMerge w:val="restart"/>
          </w:tcPr>
          <w:p>
            <w:pPr>
              <w:pStyle w:val="0"/>
            </w:pPr>
            <w:r>
              <w:rPr>
                <w:sz w:val="20"/>
              </w:rPr>
            </w:r>
          </w:p>
        </w:tc>
        <w:tc>
          <w:tcPr>
            <w:gridSpan w:val="2"/>
            <w:tcW w:w="1575" w:type="dxa"/>
            <w:vAlign w:val="center"/>
          </w:tcPr>
          <w:p>
            <w:pPr>
              <w:pStyle w:val="0"/>
              <w:jc w:val="center"/>
            </w:pPr>
            <w:r>
              <w:rPr>
                <w:sz w:val="20"/>
              </w:rPr>
              <w:t xml:space="preserve">Слизистая носа</w:t>
            </w:r>
          </w:p>
        </w:tc>
        <w:tc>
          <w:tcPr>
            <w:gridSpan w:val="3"/>
            <w:tcW w:w="1510" w:type="dxa"/>
            <w:vAlign w:val="center"/>
          </w:tcPr>
          <w:p>
            <w:pPr>
              <w:pStyle w:val="0"/>
              <w:jc w:val="center"/>
            </w:pPr>
            <w:r>
              <w:rPr>
                <w:sz w:val="20"/>
              </w:rPr>
              <w:t xml:space="preserve">описание</w:t>
            </w:r>
          </w:p>
        </w:tc>
        <w:tc>
          <w:tcPr>
            <w:gridSpan w:val="2"/>
            <w:tcW w:w="843" w:type="dxa"/>
            <w:vAlign w:val="center"/>
            <w:vMerge w:val="restart"/>
          </w:tcPr>
          <w:p>
            <w:pPr>
              <w:pStyle w:val="0"/>
              <w:jc w:val="center"/>
            </w:pPr>
            <w:r>
              <w:rPr>
                <w:sz w:val="20"/>
              </w:rPr>
              <w:t xml:space="preserve">Острота слуха</w:t>
            </w:r>
          </w:p>
        </w:tc>
        <w:tc>
          <w:tcPr>
            <w:gridSpan w:val="5"/>
            <w:tcW w:w="2154" w:type="dxa"/>
            <w:vAlign w:val="center"/>
          </w:tcPr>
          <w:p>
            <w:pPr>
              <w:pStyle w:val="0"/>
              <w:jc w:val="center"/>
            </w:pPr>
            <w:r>
              <w:rPr>
                <w:sz w:val="20"/>
              </w:rPr>
              <w:t xml:space="preserve">Шепотная речь</w:t>
            </w:r>
          </w:p>
        </w:tc>
        <w:tc>
          <w:tcPr>
            <w:tcW w:w="610" w:type="dxa"/>
            <w:vAlign w:val="center"/>
          </w:tcPr>
          <w:p>
            <w:pPr>
              <w:pStyle w:val="0"/>
              <w:jc w:val="center"/>
            </w:pPr>
            <w:r>
              <w:rPr>
                <w:sz w:val="20"/>
              </w:rPr>
              <w:t xml:space="preserve">AD/AS</w:t>
            </w:r>
          </w:p>
        </w:tc>
        <w:tc>
          <w:tcPr>
            <w:gridSpan w:val="6"/>
            <w:tcW w:w="2588" w:type="dxa"/>
            <w:vAlign w:val="center"/>
          </w:tcPr>
          <w:p>
            <w:pPr>
              <w:pStyle w:val="0"/>
              <w:jc w:val="center"/>
            </w:pPr>
            <w:r>
              <w:rPr>
                <w:sz w:val="20"/>
              </w:rPr>
              <w:t xml:space="preserve">Восприятие шепотной речи спиной к проверяющему, м</w:t>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tcBorders>
              <w:top w:val="nil"/>
            </w:tcBorders>
            <w:vMerge w:val="continue"/>
          </w:tcPr>
          <w:p/>
        </w:tc>
        <w:tc>
          <w:tcPr>
            <w:gridSpan w:val="2"/>
            <w:tcW w:w="1575" w:type="dxa"/>
            <w:vAlign w:val="center"/>
          </w:tcPr>
          <w:p>
            <w:pPr>
              <w:pStyle w:val="0"/>
              <w:jc w:val="center"/>
            </w:pPr>
            <w:r>
              <w:rPr>
                <w:sz w:val="20"/>
              </w:rPr>
              <w:t xml:space="preserve">Обоняние</w:t>
            </w:r>
          </w:p>
        </w:tc>
        <w:tc>
          <w:tcPr>
            <w:gridSpan w:val="3"/>
            <w:tcW w:w="1510" w:type="dxa"/>
            <w:vAlign w:val="center"/>
          </w:tcPr>
          <w:p>
            <w:pPr>
              <w:pStyle w:val="0"/>
              <w:jc w:val="center"/>
            </w:pPr>
            <w:r>
              <w:rPr>
                <w:sz w:val="20"/>
              </w:rPr>
              <w:t xml:space="preserve">описание</w:t>
            </w:r>
          </w:p>
        </w:tc>
        <w:tc>
          <w:tcPr>
            <w:gridSpan w:val="2"/>
            <w:vMerge w:val="continue"/>
          </w:tcPr>
          <w:p/>
        </w:tc>
        <w:tc>
          <w:tcPr>
            <w:gridSpan w:val="5"/>
            <w:tcW w:w="2154" w:type="dxa"/>
            <w:vAlign w:val="center"/>
          </w:tcPr>
          <w:p>
            <w:pPr>
              <w:pStyle w:val="0"/>
              <w:jc w:val="center"/>
            </w:pPr>
            <w:r>
              <w:rPr>
                <w:sz w:val="20"/>
              </w:rPr>
              <w:t xml:space="preserve">Разговорная речь</w:t>
            </w:r>
          </w:p>
        </w:tc>
        <w:tc>
          <w:tcPr>
            <w:tcW w:w="610" w:type="dxa"/>
            <w:vAlign w:val="center"/>
          </w:tcPr>
          <w:p>
            <w:pPr>
              <w:pStyle w:val="0"/>
              <w:jc w:val="center"/>
            </w:pPr>
            <w:r>
              <w:rPr>
                <w:sz w:val="20"/>
              </w:rPr>
              <w:t xml:space="preserve">AD/AS</w:t>
            </w:r>
          </w:p>
        </w:tc>
        <w:tc>
          <w:tcPr>
            <w:gridSpan w:val="6"/>
            <w:tcW w:w="2588" w:type="dxa"/>
            <w:vAlign w:val="center"/>
          </w:tcPr>
          <w:p>
            <w:pPr>
              <w:pStyle w:val="0"/>
              <w:jc w:val="center"/>
            </w:pPr>
            <w:r>
              <w:rPr>
                <w:sz w:val="20"/>
              </w:rPr>
              <w:t xml:space="preserve">Восприятие разговора с нормальной громкостью голоса спиной к проверяющему, м</w:t>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tcPr>
          <w:p>
            <w:pPr>
              <w:pStyle w:val="0"/>
            </w:pPr>
            <w:r>
              <w:rPr>
                <w:sz w:val="20"/>
              </w:rPr>
              <w:t xml:space="preserve">Носоглотка</w:t>
            </w:r>
          </w:p>
        </w:tc>
        <w:tc>
          <w:tcPr>
            <w:gridSpan w:val="3"/>
            <w:tcW w:w="1510" w:type="dxa"/>
            <w:vAlign w:val="center"/>
          </w:tcPr>
          <w:p>
            <w:pPr>
              <w:pStyle w:val="0"/>
              <w:jc w:val="center"/>
            </w:pPr>
            <w:r>
              <w:rPr>
                <w:sz w:val="20"/>
              </w:rPr>
              <w:t xml:space="preserve">описание</w:t>
            </w:r>
          </w:p>
        </w:tc>
        <w:tc>
          <w:tcPr>
            <w:gridSpan w:val="2"/>
            <w:tcW w:w="843" w:type="dxa"/>
            <w:vAlign w:val="center"/>
            <w:vMerge w:val="restart"/>
          </w:tcPr>
          <w:p>
            <w:pPr>
              <w:pStyle w:val="0"/>
              <w:jc w:val="center"/>
            </w:pPr>
            <w:r>
              <w:rPr>
                <w:sz w:val="20"/>
              </w:rPr>
              <w:t xml:space="preserve">Тональная аудиометрия</w:t>
            </w:r>
          </w:p>
        </w:tc>
        <w:tc>
          <w:tcPr>
            <w:gridSpan w:val="2"/>
            <w:tcW w:w="964" w:type="dxa"/>
          </w:tcPr>
          <w:p>
            <w:pPr>
              <w:pStyle w:val="0"/>
              <w:jc w:val="center"/>
            </w:pPr>
            <w:r>
              <w:rPr>
                <w:sz w:val="20"/>
              </w:rPr>
              <w:t xml:space="preserve">Гц</w:t>
            </w:r>
          </w:p>
        </w:tc>
        <w:tc>
          <w:tcPr>
            <w:gridSpan w:val="3"/>
            <w:tcW w:w="1190" w:type="dxa"/>
          </w:tcPr>
          <w:p>
            <w:pPr>
              <w:pStyle w:val="0"/>
              <w:jc w:val="center"/>
            </w:pPr>
            <w:r>
              <w:rPr>
                <w:sz w:val="20"/>
              </w:rPr>
              <w:t xml:space="preserve">500</w:t>
            </w:r>
          </w:p>
        </w:tc>
        <w:tc>
          <w:tcPr>
            <w:gridSpan w:val="2"/>
            <w:tcW w:w="1129" w:type="dxa"/>
          </w:tcPr>
          <w:p>
            <w:pPr>
              <w:pStyle w:val="0"/>
              <w:jc w:val="center"/>
            </w:pPr>
            <w:r>
              <w:rPr>
                <w:sz w:val="20"/>
              </w:rPr>
              <w:t xml:space="preserve">1000</w:t>
            </w:r>
          </w:p>
        </w:tc>
        <w:tc>
          <w:tcPr>
            <w:gridSpan w:val="3"/>
            <w:tcW w:w="955" w:type="dxa"/>
          </w:tcPr>
          <w:p>
            <w:pPr>
              <w:pStyle w:val="0"/>
              <w:jc w:val="center"/>
            </w:pPr>
            <w:r>
              <w:rPr>
                <w:sz w:val="20"/>
              </w:rPr>
              <w:t xml:space="preserve">2000</w:t>
            </w:r>
          </w:p>
        </w:tc>
        <w:tc>
          <w:tcPr>
            <w:gridSpan w:val="2"/>
            <w:tcW w:w="1114" w:type="dxa"/>
          </w:tcPr>
          <w:p>
            <w:pPr>
              <w:pStyle w:val="0"/>
              <w:jc w:val="center"/>
            </w:pPr>
            <w:r>
              <w:rPr>
                <w:sz w:val="20"/>
              </w:rPr>
              <w:t xml:space="preserve">3000</w:t>
            </w:r>
          </w:p>
        </w:tc>
        <w:tc>
          <w:tcPr>
            <w:gridSpan w:val="4"/>
            <w:tcW w:w="1970" w:type="dxa"/>
          </w:tcPr>
          <w:p>
            <w:pPr>
              <w:pStyle w:val="0"/>
            </w:pPr>
            <w:r>
              <w:rPr>
                <w:sz w:val="20"/>
              </w:rPr>
            </w:r>
          </w:p>
        </w:tc>
      </w:tr>
      <w:tr>
        <w:tc>
          <w:tcPr>
            <w:tcW w:w="340" w:type="dxa"/>
            <w:vAlign w:val="center"/>
          </w:tcPr>
          <w:p>
            <w:pPr>
              <w:pStyle w:val="0"/>
            </w:pPr>
            <w:r>
              <w:rPr>
                <w:sz w:val="20"/>
              </w:rPr>
            </w:r>
          </w:p>
        </w:tc>
        <w:tc>
          <w:tcPr>
            <w:tcW w:w="794" w:type="dxa"/>
            <w:vAlign w:val="center"/>
            <w:vMerge w:val="restart"/>
          </w:tcPr>
          <w:p>
            <w:pPr>
              <w:pStyle w:val="0"/>
            </w:pPr>
            <w:r>
              <w:rPr>
                <w:sz w:val="20"/>
              </w:rPr>
              <w:t xml:space="preserve">Глотка</w:t>
            </w:r>
          </w:p>
        </w:tc>
        <w:tc>
          <w:tcPr>
            <w:gridSpan w:val="2"/>
            <w:tcW w:w="1575" w:type="dxa"/>
            <w:vAlign w:val="center"/>
          </w:tcPr>
          <w:p>
            <w:pPr>
              <w:pStyle w:val="0"/>
            </w:pPr>
            <w:r>
              <w:rPr>
                <w:sz w:val="20"/>
              </w:rPr>
              <w:t xml:space="preserve">Слизистые</w:t>
            </w:r>
          </w:p>
        </w:tc>
        <w:tc>
          <w:tcPr>
            <w:gridSpan w:val="3"/>
            <w:tcW w:w="1510" w:type="dxa"/>
            <w:vAlign w:val="center"/>
          </w:tcPr>
          <w:p>
            <w:pPr>
              <w:pStyle w:val="0"/>
              <w:jc w:val="center"/>
            </w:pPr>
            <w:r>
              <w:rPr>
                <w:sz w:val="20"/>
              </w:rPr>
              <w:t xml:space="preserve">описание</w:t>
            </w:r>
          </w:p>
        </w:tc>
        <w:tc>
          <w:tcPr>
            <w:gridSpan w:val="2"/>
            <w:vMerge w:val="continue"/>
          </w:tcPr>
          <w:p/>
        </w:tc>
        <w:tc>
          <w:tcPr>
            <w:gridSpan w:val="2"/>
            <w:tcW w:w="964" w:type="dxa"/>
            <w:vAlign w:val="center"/>
          </w:tcPr>
          <w:p>
            <w:pPr>
              <w:pStyle w:val="0"/>
              <w:jc w:val="center"/>
            </w:pPr>
            <w:r>
              <w:rPr>
                <w:sz w:val="20"/>
              </w:rPr>
              <w:t xml:space="preserve">AD</w:t>
            </w:r>
          </w:p>
        </w:tc>
        <w:tc>
          <w:tcPr>
            <w:gridSpan w:val="3"/>
            <w:tcW w:w="1190" w:type="dxa"/>
            <w:vAlign w:val="center"/>
          </w:tcPr>
          <w:p>
            <w:pPr>
              <w:pStyle w:val="0"/>
            </w:pPr>
            <w:r>
              <w:rPr>
                <w:sz w:val="20"/>
              </w:rPr>
            </w:r>
          </w:p>
        </w:tc>
        <w:tc>
          <w:tcPr>
            <w:gridSpan w:val="2"/>
            <w:tcW w:w="1129" w:type="dxa"/>
            <w:vAlign w:val="center"/>
          </w:tcPr>
          <w:p>
            <w:pPr>
              <w:pStyle w:val="0"/>
            </w:pPr>
            <w:r>
              <w:rPr>
                <w:sz w:val="20"/>
              </w:rPr>
            </w:r>
          </w:p>
        </w:tc>
        <w:tc>
          <w:tcPr>
            <w:gridSpan w:val="3"/>
            <w:tcW w:w="955" w:type="dxa"/>
            <w:vAlign w:val="center"/>
          </w:tcPr>
          <w:p>
            <w:pPr>
              <w:pStyle w:val="0"/>
            </w:pPr>
            <w:r>
              <w:rPr>
                <w:sz w:val="20"/>
              </w:rPr>
            </w:r>
          </w:p>
        </w:tc>
        <w:tc>
          <w:tcPr>
            <w:gridSpan w:val="2"/>
            <w:tcW w:w="1114" w:type="dxa"/>
            <w:vAlign w:val="center"/>
          </w:tcPr>
          <w:p>
            <w:pPr>
              <w:pStyle w:val="0"/>
            </w:pPr>
            <w:r>
              <w:rPr>
                <w:sz w:val="20"/>
              </w:rPr>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vMerge w:val="continue"/>
          </w:tcPr>
          <w:p/>
        </w:tc>
        <w:tc>
          <w:tcPr>
            <w:gridSpan w:val="2"/>
            <w:tcW w:w="1575" w:type="dxa"/>
            <w:vAlign w:val="center"/>
          </w:tcPr>
          <w:p>
            <w:pPr>
              <w:pStyle w:val="0"/>
            </w:pPr>
            <w:r>
              <w:rPr>
                <w:sz w:val="20"/>
              </w:rPr>
              <w:t xml:space="preserve">Миндалины</w:t>
            </w:r>
          </w:p>
        </w:tc>
        <w:tc>
          <w:tcPr>
            <w:gridSpan w:val="3"/>
            <w:tcW w:w="1510" w:type="dxa"/>
            <w:vAlign w:val="center"/>
          </w:tcPr>
          <w:p>
            <w:pPr>
              <w:pStyle w:val="0"/>
              <w:jc w:val="center"/>
            </w:pPr>
            <w:r>
              <w:rPr>
                <w:sz w:val="20"/>
              </w:rPr>
              <w:t xml:space="preserve">описание</w:t>
            </w:r>
          </w:p>
        </w:tc>
        <w:tc>
          <w:tcPr>
            <w:gridSpan w:val="2"/>
            <w:vMerge w:val="continue"/>
          </w:tcPr>
          <w:p/>
        </w:tc>
        <w:tc>
          <w:tcPr>
            <w:gridSpan w:val="2"/>
            <w:tcW w:w="964" w:type="dxa"/>
            <w:vAlign w:val="center"/>
          </w:tcPr>
          <w:p>
            <w:pPr>
              <w:pStyle w:val="0"/>
              <w:jc w:val="center"/>
            </w:pPr>
            <w:r>
              <w:rPr>
                <w:sz w:val="20"/>
              </w:rPr>
              <w:t xml:space="preserve">AS</w:t>
            </w:r>
          </w:p>
        </w:tc>
        <w:tc>
          <w:tcPr>
            <w:gridSpan w:val="3"/>
            <w:tcW w:w="1190" w:type="dxa"/>
            <w:vAlign w:val="center"/>
          </w:tcPr>
          <w:p>
            <w:pPr>
              <w:pStyle w:val="0"/>
            </w:pPr>
            <w:r>
              <w:rPr>
                <w:sz w:val="20"/>
              </w:rPr>
            </w:r>
          </w:p>
        </w:tc>
        <w:tc>
          <w:tcPr>
            <w:gridSpan w:val="2"/>
            <w:tcW w:w="1129" w:type="dxa"/>
            <w:vAlign w:val="center"/>
          </w:tcPr>
          <w:p>
            <w:pPr>
              <w:pStyle w:val="0"/>
            </w:pPr>
            <w:r>
              <w:rPr>
                <w:sz w:val="20"/>
              </w:rPr>
            </w:r>
          </w:p>
        </w:tc>
        <w:tc>
          <w:tcPr>
            <w:gridSpan w:val="3"/>
            <w:tcW w:w="955" w:type="dxa"/>
            <w:vAlign w:val="center"/>
          </w:tcPr>
          <w:p>
            <w:pPr>
              <w:pStyle w:val="0"/>
            </w:pPr>
            <w:r>
              <w:rPr>
                <w:sz w:val="20"/>
              </w:rPr>
            </w:r>
          </w:p>
        </w:tc>
        <w:tc>
          <w:tcPr>
            <w:gridSpan w:val="2"/>
            <w:tcW w:w="1114" w:type="dxa"/>
            <w:vAlign w:val="center"/>
          </w:tcPr>
          <w:p>
            <w:pPr>
              <w:pStyle w:val="0"/>
            </w:pPr>
            <w:r>
              <w:rPr>
                <w:sz w:val="20"/>
              </w:rPr>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tcW w:w="794" w:type="dxa"/>
            <w:vAlign w:val="center"/>
            <w:vMerge w:val="restart"/>
          </w:tcPr>
          <w:p>
            <w:pPr>
              <w:pStyle w:val="0"/>
            </w:pPr>
            <w:r>
              <w:rPr>
                <w:sz w:val="20"/>
              </w:rPr>
              <w:t xml:space="preserve">Гортань</w:t>
            </w:r>
          </w:p>
        </w:tc>
        <w:tc>
          <w:tcPr>
            <w:gridSpan w:val="2"/>
            <w:tcW w:w="1575" w:type="dxa"/>
            <w:vAlign w:val="center"/>
          </w:tcPr>
          <w:p>
            <w:pPr>
              <w:pStyle w:val="0"/>
            </w:pPr>
            <w:r>
              <w:rPr>
                <w:sz w:val="20"/>
              </w:rPr>
              <w:t xml:space="preserve">Голосовые складки</w:t>
            </w:r>
          </w:p>
        </w:tc>
        <w:tc>
          <w:tcPr>
            <w:gridSpan w:val="3"/>
            <w:tcW w:w="1510" w:type="dxa"/>
            <w:vAlign w:val="center"/>
          </w:tcPr>
          <w:p>
            <w:pPr>
              <w:pStyle w:val="0"/>
              <w:jc w:val="center"/>
            </w:pPr>
            <w:r>
              <w:rPr>
                <w:sz w:val="20"/>
              </w:rPr>
              <w:t xml:space="preserve">описание</w:t>
            </w:r>
          </w:p>
        </w:tc>
        <w:tc>
          <w:tcPr>
            <w:gridSpan w:val="9"/>
            <w:tcW w:w="4126" w:type="dxa"/>
            <w:vAlign w:val="center"/>
          </w:tcPr>
          <w:p>
            <w:pPr>
              <w:pStyle w:val="0"/>
              <w:jc w:val="center"/>
            </w:pPr>
            <w:r>
              <w:rPr>
                <w:sz w:val="20"/>
              </w:rPr>
              <w:t xml:space="preserve">Барофункция (AD/AS, степень 1 - 4)</w:t>
            </w:r>
          </w:p>
        </w:tc>
        <w:tc>
          <w:tcPr>
            <w:gridSpan w:val="3"/>
            <w:tcW w:w="955" w:type="dxa"/>
            <w:vAlign w:val="center"/>
          </w:tcPr>
          <w:p>
            <w:pPr>
              <w:pStyle w:val="0"/>
              <w:jc w:val="center"/>
            </w:pPr>
            <w:r>
              <w:rPr>
                <w:sz w:val="20"/>
              </w:rPr>
              <w:t xml:space="preserve">AD</w:t>
            </w:r>
          </w:p>
        </w:tc>
        <w:tc>
          <w:tcPr>
            <w:gridSpan w:val="2"/>
            <w:tcW w:w="1114" w:type="dxa"/>
            <w:vAlign w:val="center"/>
          </w:tcPr>
          <w:p>
            <w:pPr>
              <w:pStyle w:val="0"/>
              <w:jc w:val="center"/>
            </w:pPr>
            <w:r>
              <w:rPr>
                <w:sz w:val="20"/>
              </w:rPr>
              <w:t xml:space="preserve">AS</w:t>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vMerge w:val="continue"/>
          </w:tcPr>
          <w:p/>
        </w:tc>
        <w:tc>
          <w:tcPr>
            <w:gridSpan w:val="2"/>
            <w:tcW w:w="1575" w:type="dxa"/>
            <w:vAlign w:val="center"/>
          </w:tcPr>
          <w:p>
            <w:pPr>
              <w:pStyle w:val="0"/>
            </w:pPr>
            <w:r>
              <w:rPr>
                <w:sz w:val="20"/>
              </w:rPr>
              <w:t xml:space="preserve">Слизистые</w:t>
            </w:r>
          </w:p>
        </w:tc>
        <w:tc>
          <w:tcPr>
            <w:gridSpan w:val="3"/>
            <w:tcW w:w="1510" w:type="dxa"/>
            <w:vAlign w:val="center"/>
          </w:tcPr>
          <w:p>
            <w:pPr>
              <w:pStyle w:val="0"/>
              <w:jc w:val="center"/>
            </w:pPr>
            <w:r>
              <w:rPr>
                <w:sz w:val="20"/>
              </w:rPr>
              <w:t xml:space="preserve">описание</w:t>
            </w:r>
          </w:p>
        </w:tc>
        <w:tc>
          <w:tcPr>
            <w:gridSpan w:val="2"/>
            <w:tcW w:w="843" w:type="dxa"/>
            <w:vAlign w:val="center"/>
            <w:vMerge w:val="restart"/>
          </w:tcPr>
          <w:p>
            <w:pPr>
              <w:pStyle w:val="0"/>
              <w:jc w:val="center"/>
            </w:pPr>
            <w:r>
              <w:rPr>
                <w:sz w:val="20"/>
              </w:rPr>
              <w:t xml:space="preserve">Вестибулярный аппарат</w:t>
            </w:r>
          </w:p>
        </w:tc>
        <w:tc>
          <w:tcPr>
            <w:gridSpan w:val="2"/>
            <w:tcW w:w="964" w:type="dxa"/>
            <w:vAlign w:val="center"/>
            <w:vMerge w:val="restart"/>
          </w:tcPr>
          <w:p>
            <w:pPr>
              <w:pStyle w:val="0"/>
              <w:jc w:val="center"/>
            </w:pPr>
            <w:r>
              <w:rPr>
                <w:sz w:val="20"/>
              </w:rPr>
              <w:t xml:space="preserve">Метод (НКУК)</w:t>
            </w:r>
          </w:p>
        </w:tc>
        <w:tc>
          <w:tcPr>
            <w:gridSpan w:val="3"/>
            <w:tcW w:w="1190" w:type="dxa"/>
            <w:vAlign w:val="center"/>
          </w:tcPr>
          <w:p>
            <w:pPr>
              <w:pStyle w:val="0"/>
              <w:jc w:val="center"/>
            </w:pPr>
            <w:r>
              <w:rPr>
                <w:sz w:val="20"/>
              </w:rPr>
              <w:t xml:space="preserve">После вращения вправо</w:t>
            </w:r>
          </w:p>
        </w:tc>
        <w:tc>
          <w:tcPr>
            <w:gridSpan w:val="2"/>
            <w:tcW w:w="1129" w:type="dxa"/>
            <w:vAlign w:val="center"/>
          </w:tcPr>
          <w:p>
            <w:pPr>
              <w:pStyle w:val="0"/>
              <w:jc w:val="center"/>
            </w:pPr>
            <w:r>
              <w:rPr>
                <w:sz w:val="20"/>
              </w:rPr>
              <w:t xml:space="preserve">Отолитовая реакция (0, 1, 2, 3)</w:t>
            </w:r>
          </w:p>
        </w:tc>
        <w:tc>
          <w:tcPr>
            <w:gridSpan w:val="5"/>
            <w:tcW w:w="2069" w:type="dxa"/>
            <w:vAlign w:val="center"/>
          </w:tcPr>
          <w:p>
            <w:pPr>
              <w:pStyle w:val="0"/>
              <w:jc w:val="center"/>
            </w:pPr>
            <w:r>
              <w:rPr>
                <w:sz w:val="20"/>
              </w:rPr>
              <w:t xml:space="preserve">Нистагм, потливость, головокружение, сердцебиение, тошнота, побледнение, рвота</w:t>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tcW w:w="794" w:type="dxa"/>
            <w:vAlign w:val="center"/>
            <w:vMerge w:val="restart"/>
          </w:tcPr>
          <w:p>
            <w:pPr>
              <w:pStyle w:val="0"/>
            </w:pPr>
            <w:r>
              <w:rPr>
                <w:sz w:val="20"/>
              </w:rPr>
              <w:t xml:space="preserve">Ухо</w:t>
            </w:r>
          </w:p>
        </w:tc>
        <w:tc>
          <w:tcPr>
            <w:gridSpan w:val="2"/>
            <w:tcW w:w="1575" w:type="dxa"/>
            <w:vAlign w:val="center"/>
          </w:tcPr>
          <w:p>
            <w:pPr>
              <w:pStyle w:val="0"/>
            </w:pPr>
            <w:r>
              <w:rPr>
                <w:sz w:val="20"/>
              </w:rPr>
              <w:t xml:space="preserve">Наружное</w:t>
            </w:r>
          </w:p>
        </w:tc>
        <w:tc>
          <w:tcPr>
            <w:gridSpan w:val="3"/>
            <w:tcW w:w="1510" w:type="dxa"/>
            <w:vAlign w:val="center"/>
          </w:tcPr>
          <w:p>
            <w:pPr>
              <w:pStyle w:val="0"/>
              <w:jc w:val="center"/>
            </w:pPr>
            <w:r>
              <w:rPr>
                <w:sz w:val="20"/>
              </w:rPr>
              <w:t xml:space="preserve">описание</w:t>
            </w:r>
          </w:p>
        </w:tc>
        <w:tc>
          <w:tcPr>
            <w:gridSpan w:val="2"/>
            <w:vMerge w:val="continue"/>
          </w:tcPr>
          <w:p/>
        </w:tc>
        <w:tc>
          <w:tcPr>
            <w:gridSpan w:val="2"/>
            <w:vMerge w:val="continue"/>
          </w:tcPr>
          <w:p/>
        </w:tc>
        <w:tc>
          <w:tcPr>
            <w:gridSpan w:val="3"/>
            <w:tcW w:w="1190" w:type="dxa"/>
            <w:vAlign w:val="center"/>
          </w:tcPr>
          <w:p>
            <w:pPr>
              <w:pStyle w:val="0"/>
              <w:jc w:val="center"/>
            </w:pPr>
            <w:r>
              <w:rPr>
                <w:sz w:val="20"/>
              </w:rPr>
              <w:t xml:space="preserve">После вращения влево</w:t>
            </w:r>
          </w:p>
        </w:tc>
        <w:tc>
          <w:tcPr>
            <w:gridSpan w:val="2"/>
            <w:tcW w:w="1129" w:type="dxa"/>
            <w:vAlign w:val="center"/>
          </w:tcPr>
          <w:p>
            <w:pPr>
              <w:pStyle w:val="0"/>
              <w:jc w:val="center"/>
            </w:pPr>
            <w:r>
              <w:rPr>
                <w:sz w:val="20"/>
              </w:rPr>
              <w:t xml:space="preserve">Отолитовая реакция (0, 1, 2, 3)</w:t>
            </w:r>
          </w:p>
        </w:tc>
        <w:tc>
          <w:tcPr>
            <w:gridSpan w:val="5"/>
            <w:tcW w:w="2069" w:type="dxa"/>
            <w:vAlign w:val="center"/>
          </w:tcPr>
          <w:p>
            <w:pPr>
              <w:pStyle w:val="0"/>
              <w:jc w:val="center"/>
            </w:pPr>
            <w:r>
              <w:rPr>
                <w:sz w:val="20"/>
              </w:rPr>
              <w:t xml:space="preserve">Нистагм, потливость, головокружение, сердцебиение, тошнота, побледнение, рвота</w:t>
            </w:r>
          </w:p>
        </w:tc>
        <w:tc>
          <w:tcPr>
            <w:gridSpan w:val="2"/>
            <w:tcW w:w="939"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vMerge w:val="continue"/>
          </w:tcPr>
          <w:p/>
        </w:tc>
        <w:tc>
          <w:tcPr>
            <w:gridSpan w:val="2"/>
            <w:tcW w:w="1575" w:type="dxa"/>
            <w:vAlign w:val="center"/>
          </w:tcPr>
          <w:p>
            <w:pPr>
              <w:pStyle w:val="0"/>
            </w:pPr>
            <w:r>
              <w:rPr>
                <w:sz w:val="20"/>
              </w:rPr>
              <w:t xml:space="preserve">Барабанные перепонки</w:t>
            </w:r>
          </w:p>
        </w:tc>
        <w:tc>
          <w:tcPr>
            <w:gridSpan w:val="3"/>
            <w:tcW w:w="1510" w:type="dxa"/>
            <w:vAlign w:val="center"/>
          </w:tcPr>
          <w:p>
            <w:pPr>
              <w:pStyle w:val="0"/>
              <w:jc w:val="center"/>
            </w:pPr>
            <w:r>
              <w:rPr>
                <w:sz w:val="20"/>
              </w:rPr>
              <w:t xml:space="preserve">описание</w:t>
            </w:r>
          </w:p>
        </w:tc>
        <w:tc>
          <w:tcPr>
            <w:gridSpan w:val="8"/>
            <w:tcW w:w="3607" w:type="dxa"/>
            <w:vAlign w:val="center"/>
          </w:tcPr>
          <w:p>
            <w:pPr>
              <w:pStyle w:val="0"/>
              <w:jc w:val="center"/>
            </w:pPr>
            <w:r>
              <w:rPr>
                <w:sz w:val="20"/>
              </w:rPr>
              <w:t xml:space="preserve">Регионарные лимфоузлы</w:t>
            </w:r>
          </w:p>
        </w:tc>
        <w:tc>
          <w:tcPr>
            <w:gridSpan w:val="10"/>
            <w:tcW w:w="4558" w:type="dxa"/>
            <w:vAlign w:val="center"/>
          </w:tcPr>
          <w:p>
            <w:pPr>
              <w:pStyle w:val="0"/>
              <w:jc w:val="center"/>
            </w:pPr>
            <w:r>
              <w:rPr>
                <w:sz w:val="20"/>
              </w:rPr>
              <w:t xml:space="preserve">описание</w:t>
            </w:r>
          </w:p>
        </w:tc>
      </w:tr>
      <w:tr>
        <w:tc>
          <w:tcPr>
            <w:tcW w:w="340" w:type="dxa"/>
          </w:tcPr>
          <w:p>
            <w:pPr>
              <w:pStyle w:val="0"/>
            </w:pPr>
            <w:r>
              <w:rPr>
                <w:sz w:val="20"/>
              </w:rPr>
            </w:r>
          </w:p>
        </w:tc>
        <w:tc>
          <w:tcPr>
            <w:gridSpan w:val="3"/>
            <w:tcW w:w="2369" w:type="dxa"/>
            <w:tcBorders>
              <w:right w:val="nil"/>
            </w:tcBorders>
          </w:tcPr>
          <w:p>
            <w:pPr>
              <w:pStyle w:val="0"/>
            </w:pPr>
            <w:r>
              <w:rPr>
                <w:sz w:val="20"/>
              </w:rPr>
              <w:t xml:space="preserve">дополнительно:</w:t>
            </w:r>
          </w:p>
        </w:tc>
        <w:tc>
          <w:tcPr>
            <w:gridSpan w:val="17"/>
            <w:tcW w:w="7705" w:type="dxa"/>
            <w:tcBorders>
              <w:left w:val="nil"/>
            </w:tcBorders>
          </w:tcPr>
          <w:p>
            <w:pPr>
              <w:pStyle w:val="0"/>
              <w:jc w:val="center"/>
            </w:pPr>
            <w:r>
              <w:rPr>
                <w:sz w:val="20"/>
              </w:rPr>
              <w:t xml:space="preserve">описываются дополнительные сведения, рекомендации, указывается графа и статья соответствия/несоответствия (Н/С) требованиям по состоянию здоровья</w:t>
            </w:r>
          </w:p>
        </w:tc>
        <w:tc>
          <w:tcPr>
            <w:gridSpan w:val="2"/>
            <w:tcW w:w="939" w:type="dxa"/>
            <w:vAlign w:val="center"/>
            <w:vMerge w:val="restart"/>
          </w:tcPr>
          <w:p>
            <w:pPr>
              <w:pStyle w:val="0"/>
              <w:jc w:val="center"/>
            </w:pPr>
            <w:r>
              <w:rPr>
                <w:sz w:val="20"/>
              </w:rPr>
              <w:t xml:space="preserve">С</w:t>
            </w:r>
          </w:p>
        </w:tc>
        <w:tc>
          <w:tcPr>
            <w:gridSpan w:val="2"/>
            <w:tcW w:w="1031" w:type="dxa"/>
            <w:vAlign w:val="center"/>
            <w:vMerge w:val="restart"/>
          </w:tcPr>
          <w:p>
            <w:pPr>
              <w:pStyle w:val="0"/>
              <w:jc w:val="center"/>
            </w:pPr>
            <w:r>
              <w:rPr>
                <w:sz w:val="20"/>
              </w:rPr>
              <w:t xml:space="preserve">Н/С</w:t>
            </w:r>
          </w:p>
        </w:tc>
      </w:tr>
      <w:tr>
        <w:tc>
          <w:tcPr>
            <w:tcW w:w="340" w:type="dxa"/>
            <w:vMerge w:val="restart"/>
          </w:tcPr>
          <w:p>
            <w:pPr>
              <w:pStyle w:val="0"/>
            </w:pPr>
            <w:r>
              <w:rPr>
                <w:sz w:val="20"/>
              </w:rPr>
            </w:r>
          </w:p>
        </w:tc>
        <w:tc>
          <w:tcPr>
            <w:gridSpan w:val="3"/>
            <w:tcW w:w="2369" w:type="dxa"/>
            <w:tcBorders>
              <w:bottom w:val="nil"/>
              <w:right w:val="nil"/>
            </w:tcBorders>
          </w:tcPr>
          <w:p>
            <w:pPr>
              <w:pStyle w:val="0"/>
            </w:pPr>
            <w:r>
              <w:rPr>
                <w:sz w:val="20"/>
              </w:rPr>
              <w:t xml:space="preserve">Диагноз:</w:t>
            </w:r>
          </w:p>
        </w:tc>
        <w:tc>
          <w:tcPr>
            <w:gridSpan w:val="17"/>
            <w:tcW w:w="7705" w:type="dxa"/>
            <w:vAlign w:val="center"/>
            <w:tcBorders>
              <w:left w:val="nil"/>
              <w:bottom w:val="nil"/>
            </w:tcBorders>
          </w:tcPr>
          <w:p>
            <w:pPr>
              <w:pStyle w:val="0"/>
            </w:pPr>
            <w:r>
              <w:rPr>
                <w:sz w:val="20"/>
              </w:rPr>
            </w:r>
          </w:p>
        </w:tc>
        <w:tc>
          <w:tcPr>
            <w:gridSpan w:val="2"/>
            <w:vMerge w:val="continue"/>
          </w:tcPr>
          <w:p/>
        </w:tc>
        <w:tc>
          <w:tcPr>
            <w:gridSpan w:val="2"/>
            <w:vMerge w:val="continue"/>
          </w:tcPr>
          <w:p/>
        </w:tc>
      </w:tr>
      <w:tr>
        <w:tc>
          <w:tcPr>
            <w:vMerge w:val="continue"/>
          </w:tcPr>
          <w:p/>
        </w:tc>
        <w:tc>
          <w:tcPr>
            <w:gridSpan w:val="3"/>
            <w:tcW w:w="2369" w:type="dxa"/>
            <w:tcBorders>
              <w:top w:val="nil"/>
              <w:right w:val="nil"/>
            </w:tcBorders>
          </w:tcPr>
          <w:p>
            <w:pPr>
              <w:pStyle w:val="0"/>
            </w:pPr>
            <w:r>
              <w:rPr>
                <w:sz w:val="20"/>
              </w:rPr>
            </w:r>
          </w:p>
        </w:tc>
        <w:tc>
          <w:tcPr>
            <w:gridSpan w:val="17"/>
            <w:tcW w:w="7705" w:type="dxa"/>
            <w:tcBorders>
              <w:top w:val="nil"/>
              <w:left w:val="nil"/>
            </w:tcBorders>
          </w:tcPr>
          <w:p>
            <w:pPr>
              <w:pStyle w:val="0"/>
              <w:jc w:val="center"/>
            </w:pPr>
            <w:r>
              <w:rPr>
                <w:sz w:val="20"/>
              </w:rPr>
              <w:t xml:space="preserve">указывается полный клинический диагноз</w:t>
            </w:r>
          </w:p>
        </w:tc>
        <w:tc>
          <w:tcPr>
            <w:gridSpan w:val="2"/>
            <w:vMerge w:val="continue"/>
          </w:tcPr>
          <w:p/>
        </w:tc>
        <w:tc>
          <w:tcPr>
            <w:gridSpan w:val="2"/>
            <w:vMerge w:val="continue"/>
          </w:tcPr>
          <w:p/>
        </w:tc>
      </w:tr>
      <w:tr>
        <w:tc>
          <w:tcPr>
            <w:tcW w:w="340" w:type="dxa"/>
            <w:vMerge w:val="restart"/>
          </w:tcPr>
          <w:p>
            <w:pPr>
              <w:pStyle w:val="0"/>
            </w:pPr>
            <w:r>
              <w:rPr>
                <w:sz w:val="20"/>
              </w:rPr>
            </w:r>
          </w:p>
        </w:tc>
        <w:tc>
          <w:tcPr>
            <w:gridSpan w:val="3"/>
            <w:tcW w:w="2369" w:type="dxa"/>
            <w:tcBorders>
              <w:bottom w:val="nil"/>
              <w:right w:val="nil"/>
            </w:tcBorders>
          </w:tcPr>
          <w:p>
            <w:pPr>
              <w:pStyle w:val="0"/>
            </w:pPr>
            <w:r>
              <w:rPr>
                <w:sz w:val="20"/>
              </w:rPr>
              <w:t xml:space="preserve">Код </w:t>
            </w:r>
            <w:hyperlink w:history="0" r:id="rId17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7"/>
            <w:tcW w:w="7705" w:type="dxa"/>
            <w:vAlign w:val="center"/>
            <w:tcBorders>
              <w:left w:val="nil"/>
              <w:bottom w:val="nil"/>
            </w:tcBorders>
          </w:tcPr>
          <w:p>
            <w:pPr>
              <w:pStyle w:val="0"/>
            </w:pPr>
            <w:r>
              <w:rPr>
                <w:sz w:val="20"/>
              </w:rPr>
            </w:r>
          </w:p>
        </w:tc>
        <w:tc>
          <w:tcPr>
            <w:gridSpan w:val="4"/>
            <w:tcW w:w="1970" w:type="dxa"/>
            <w:vAlign w:val="center"/>
            <w:vMerge w:val="restart"/>
          </w:tcPr>
          <w:p>
            <w:pPr>
              <w:pStyle w:val="0"/>
              <w:jc w:val="center"/>
            </w:pPr>
            <w:r>
              <w:rPr>
                <w:sz w:val="20"/>
              </w:rPr>
              <w:t xml:space="preserve">Фамилия, инициалы, подпись, печать врача</w:t>
            </w:r>
          </w:p>
        </w:tc>
      </w:tr>
      <w:tr>
        <w:tc>
          <w:tcPr>
            <w:vMerge w:val="continue"/>
          </w:tcPr>
          <w:p/>
        </w:tc>
        <w:tc>
          <w:tcPr>
            <w:gridSpan w:val="3"/>
            <w:tcW w:w="2369" w:type="dxa"/>
            <w:tcBorders>
              <w:top w:val="nil"/>
              <w:right w:val="nil"/>
            </w:tcBorders>
          </w:tcPr>
          <w:p>
            <w:pPr>
              <w:pStyle w:val="0"/>
            </w:pPr>
            <w:r>
              <w:rPr>
                <w:sz w:val="20"/>
              </w:rPr>
            </w:r>
          </w:p>
        </w:tc>
        <w:tc>
          <w:tcPr>
            <w:gridSpan w:val="17"/>
            <w:tcW w:w="7705" w:type="dxa"/>
            <w:vAlign w:val="center"/>
            <w:tcBorders>
              <w:top w:val="nil"/>
              <w:left w:val="nil"/>
            </w:tcBorders>
          </w:tcPr>
          <w:p>
            <w:pPr>
              <w:pStyle w:val="0"/>
              <w:jc w:val="center"/>
            </w:pPr>
            <w:r>
              <w:rPr>
                <w:sz w:val="20"/>
              </w:rPr>
              <w:t xml:space="preserve">указываются коды всех выявленных заболеваний и состояний</w:t>
            </w:r>
          </w:p>
        </w:tc>
        <w:tc>
          <w:tcPr>
            <w:gridSpan w:val="4"/>
            <w:vMerge w:val="continue"/>
          </w:tcPr>
          <w:p/>
        </w:tc>
      </w:tr>
      <w:tr>
        <w:tblPrEx>
          <w:tblBorders>
            <w:insideV w:val="nil"/>
          </w:tblBorders>
        </w:tblPrEx>
        <w:tc>
          <w:tcPr>
            <w:tcW w:w="340" w:type="dxa"/>
            <w:tcBorders>
              <w:left w:val="single" w:sz="4"/>
              <w:right w:val="single" w:sz="4"/>
            </w:tcBorders>
          </w:tcPr>
          <w:p>
            <w:pPr>
              <w:pStyle w:val="0"/>
            </w:pPr>
            <w:r>
              <w:rPr>
                <w:sz w:val="20"/>
              </w:rPr>
            </w:r>
          </w:p>
        </w:tc>
        <w:tc>
          <w:tcPr>
            <w:gridSpan w:val="20"/>
            <w:tcW w:w="10074" w:type="dxa"/>
            <w:tcBorders>
              <w:left w:val="single" w:sz="4"/>
            </w:tcBorders>
          </w:tcPr>
          <w:p>
            <w:pPr>
              <w:pStyle w:val="0"/>
              <w:jc w:val="center"/>
            </w:pPr>
            <w:r>
              <w:rPr>
                <w:sz w:val="20"/>
              </w:rPr>
              <w:t xml:space="preserve">Данные неврологического обследования</w:t>
            </w:r>
          </w:p>
        </w:tc>
        <w:tc>
          <w:tcPr>
            <w:gridSpan w:val="4"/>
            <w:tcW w:w="1970" w:type="dxa"/>
            <w:tcBorders>
              <w:right w:val="single" w:sz="4"/>
            </w:tcBorders>
          </w:tcPr>
          <w:p>
            <w:pPr>
              <w:pStyle w:val="0"/>
              <w:jc w:val="right"/>
            </w:pPr>
            <w:r>
              <w:rPr>
                <w:sz w:val="20"/>
              </w:rPr>
              <w:t xml:space="preserve">Дата осмотра</w:t>
            </w:r>
          </w:p>
        </w:tc>
      </w:tr>
      <w:tr>
        <w:tc>
          <w:tcPr>
            <w:tcW w:w="340" w:type="dxa"/>
          </w:tcPr>
          <w:p>
            <w:pPr>
              <w:pStyle w:val="0"/>
            </w:pPr>
            <w:r>
              <w:rPr>
                <w:sz w:val="20"/>
              </w:rPr>
            </w:r>
          </w:p>
        </w:tc>
        <w:tc>
          <w:tcPr>
            <w:gridSpan w:val="24"/>
            <w:tcW w:w="12044" w:type="dxa"/>
          </w:tcPr>
          <w:p>
            <w:pPr>
              <w:pStyle w:val="0"/>
            </w:pPr>
            <w:r>
              <w:rPr>
                <w:sz w:val="20"/>
              </w:rPr>
              <w:t xml:space="preserve">Жалобы, анамнез:</w:t>
            </w:r>
          </w:p>
        </w:tc>
      </w:tr>
      <w:tr>
        <w:tc>
          <w:tcPr>
            <w:tcW w:w="340" w:type="dxa"/>
          </w:tcPr>
          <w:p>
            <w:pPr>
              <w:pStyle w:val="0"/>
            </w:pPr>
            <w:r>
              <w:rPr>
                <w:sz w:val="20"/>
              </w:rPr>
            </w:r>
          </w:p>
        </w:tc>
        <w:tc>
          <w:tcPr>
            <w:gridSpan w:val="3"/>
            <w:tcW w:w="2369" w:type="dxa"/>
            <w:vAlign w:val="center"/>
            <w:vMerge w:val="restart"/>
          </w:tcPr>
          <w:p>
            <w:pPr>
              <w:pStyle w:val="0"/>
            </w:pPr>
            <w:r>
              <w:rPr>
                <w:sz w:val="20"/>
              </w:rPr>
              <w:t xml:space="preserve">Черепные нервы</w:t>
            </w:r>
          </w:p>
        </w:tc>
        <w:tc>
          <w:tcPr>
            <w:gridSpan w:val="3"/>
            <w:tcW w:w="1510" w:type="dxa"/>
            <w:vAlign w:val="center"/>
            <w:vMerge w:val="restart"/>
          </w:tcPr>
          <w:p>
            <w:pPr>
              <w:pStyle w:val="0"/>
              <w:jc w:val="center"/>
            </w:pPr>
            <w:r>
              <w:rPr>
                <w:sz w:val="20"/>
              </w:rPr>
              <w:t xml:space="preserve">описание</w:t>
            </w:r>
          </w:p>
        </w:tc>
        <w:tc>
          <w:tcPr>
            <w:gridSpan w:val="2"/>
            <w:tcW w:w="843" w:type="dxa"/>
            <w:vAlign w:val="center"/>
            <w:tcBorders>
              <w:bottom w:val="nil"/>
            </w:tcBorders>
          </w:tcPr>
          <w:p>
            <w:pPr>
              <w:pStyle w:val="0"/>
              <w:jc w:val="center"/>
            </w:pPr>
            <w:r>
              <w:rPr>
                <w:sz w:val="20"/>
              </w:rPr>
              <w:t xml:space="preserve">С</w:t>
            </w:r>
          </w:p>
        </w:tc>
        <w:tc>
          <w:tcPr>
            <w:gridSpan w:val="3"/>
            <w:tcW w:w="1304" w:type="dxa"/>
            <w:vAlign w:val="center"/>
            <w:tcBorders>
              <w:bottom w:val="nil"/>
            </w:tcBorders>
          </w:tcPr>
          <w:p>
            <w:pPr>
              <w:pStyle w:val="0"/>
              <w:jc w:val="center"/>
            </w:pPr>
            <w:r>
              <w:rPr>
                <w:sz w:val="20"/>
              </w:rPr>
              <w:t xml:space="preserve">Н/С</w:t>
            </w:r>
          </w:p>
        </w:tc>
        <w:tc>
          <w:tcPr>
            <w:gridSpan w:val="2"/>
            <w:tcW w:w="850" w:type="dxa"/>
            <w:vAlign w:val="center"/>
            <w:vMerge w:val="restart"/>
          </w:tcPr>
          <w:p>
            <w:pPr>
              <w:pStyle w:val="0"/>
              <w:jc w:val="center"/>
            </w:pPr>
            <w:r>
              <w:rPr>
                <w:sz w:val="20"/>
              </w:rPr>
              <w:t xml:space="preserve">Рефлексы (сухожильные, кожные, со слизистых)</w:t>
            </w:r>
          </w:p>
        </w:tc>
        <w:tc>
          <w:tcPr>
            <w:gridSpan w:val="5"/>
            <w:tcW w:w="2084" w:type="dxa"/>
            <w:vAlign w:val="center"/>
          </w:tcPr>
          <w:p>
            <w:pPr>
              <w:pStyle w:val="0"/>
            </w:pPr>
            <w:r>
              <w:rPr>
                <w:sz w:val="20"/>
              </w:rPr>
              <w:t xml:space="preserve">Двуглавой мышцы</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vMerge w:val="continue"/>
          </w:tcPr>
          <w:p/>
        </w:tc>
        <w:tc>
          <w:tcPr>
            <w:gridSpan w:val="3"/>
            <w:vMerge w:val="continue"/>
          </w:tcPr>
          <w:p/>
        </w:tc>
        <w:tc>
          <w:tcPr>
            <w:gridSpan w:val="2"/>
            <w:tcW w:w="843" w:type="dxa"/>
            <w:vAlign w:val="center"/>
            <w:tcBorders>
              <w:top w:val="nil"/>
            </w:tcBorders>
          </w:tcPr>
          <w:p>
            <w:pPr>
              <w:pStyle w:val="0"/>
              <w:jc w:val="center"/>
            </w:pPr>
            <w:r>
              <w:rPr>
                <w:sz w:val="20"/>
              </w:rPr>
              <w:t xml:space="preserve">С</w:t>
            </w:r>
          </w:p>
        </w:tc>
        <w:tc>
          <w:tcPr>
            <w:gridSpan w:val="3"/>
            <w:tcW w:w="1304" w:type="dxa"/>
            <w:vAlign w:val="center"/>
            <w:tcBorders>
              <w:top w:val="nil"/>
            </w:tcBorders>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Трехглавой мышцы</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Двигательная сфера</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Коленные</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Мышечный тонус</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Ахилловы</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Мышечная возбудимость</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Кожные</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Трофические расстройства мышц</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Глоточный</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Поверхностная чувствительность</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Корнеальный</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Глубокая чувствительность</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5"/>
            <w:tcW w:w="2084" w:type="dxa"/>
            <w:vAlign w:val="center"/>
          </w:tcPr>
          <w:p>
            <w:pPr>
              <w:pStyle w:val="0"/>
            </w:pPr>
            <w:r>
              <w:rPr>
                <w:sz w:val="20"/>
              </w:rPr>
              <w:t xml:space="preserve">Патологические</w:t>
            </w:r>
          </w:p>
        </w:tc>
        <w:tc>
          <w:tcPr>
            <w:tcW w:w="694" w:type="dxa"/>
            <w:vAlign w:val="center"/>
          </w:tcPr>
          <w:p>
            <w:pPr>
              <w:pStyle w:val="0"/>
              <w:jc w:val="center"/>
            </w:pPr>
            <w:r>
              <w:rPr>
                <w:sz w:val="20"/>
              </w:rPr>
              <w:t xml:space="preserve">D</w:t>
            </w:r>
          </w:p>
        </w:tc>
        <w:tc>
          <w:tcPr>
            <w:gridSpan w:val="2"/>
            <w:tcW w:w="792" w:type="dxa"/>
            <w:vAlign w:val="center"/>
          </w:tcPr>
          <w:p>
            <w:pPr>
              <w:pStyle w:val="0"/>
              <w:jc w:val="center"/>
            </w:pPr>
            <w:r>
              <w:rPr>
                <w:sz w:val="20"/>
              </w:rPr>
              <w:t xml:space="preserve">S</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gridSpan w:val="3"/>
            <w:tcW w:w="2369" w:type="dxa"/>
            <w:vAlign w:val="center"/>
          </w:tcPr>
          <w:p>
            <w:pPr>
              <w:pStyle w:val="0"/>
            </w:pPr>
            <w:r>
              <w:rPr>
                <w:sz w:val="20"/>
              </w:rPr>
              <w:t xml:space="preserve">Нервные стволы</w:t>
            </w:r>
          </w:p>
        </w:tc>
        <w:tc>
          <w:tcPr>
            <w:gridSpan w:val="3"/>
            <w:tcW w:w="1510" w:type="dxa"/>
            <w:vAlign w:val="center"/>
          </w:tcPr>
          <w:p>
            <w:pPr>
              <w:pStyle w:val="0"/>
              <w:jc w:val="center"/>
            </w:pPr>
            <w:r>
              <w:rPr>
                <w:sz w:val="20"/>
              </w:rPr>
              <w:t xml:space="preserve">описание</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tcW w:w="850" w:type="dxa"/>
            <w:vAlign w:val="center"/>
            <w:vMerge w:val="restart"/>
          </w:tcPr>
          <w:p>
            <w:pPr>
              <w:pStyle w:val="0"/>
              <w:jc w:val="center"/>
            </w:pPr>
            <w:r>
              <w:rPr>
                <w:sz w:val="20"/>
              </w:rPr>
              <w:t xml:space="preserve">Вегетативная нервная система</w:t>
            </w:r>
          </w:p>
        </w:tc>
        <w:tc>
          <w:tcPr>
            <w:gridSpan w:val="4"/>
            <w:tcW w:w="1745" w:type="dxa"/>
            <w:vAlign w:val="center"/>
          </w:tcPr>
          <w:p>
            <w:pPr>
              <w:pStyle w:val="0"/>
            </w:pPr>
            <w:r>
              <w:rPr>
                <w:sz w:val="20"/>
              </w:rPr>
              <w:t xml:space="preserve">Дермографизм</w:t>
            </w:r>
          </w:p>
        </w:tc>
        <w:tc>
          <w:tcPr>
            <w:gridSpan w:val="4"/>
            <w:tcW w:w="1825"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tcW w:w="794" w:type="dxa"/>
            <w:vAlign w:val="center"/>
            <w:vMerge w:val="restart"/>
          </w:tcPr>
          <w:p>
            <w:pPr>
              <w:pStyle w:val="0"/>
              <w:jc w:val="center"/>
            </w:pPr>
            <w:r>
              <w:rPr>
                <w:sz w:val="20"/>
              </w:rPr>
              <w:t xml:space="preserve">Координация</w:t>
            </w:r>
          </w:p>
        </w:tc>
        <w:tc>
          <w:tcPr>
            <w:gridSpan w:val="3"/>
            <w:tcW w:w="2142" w:type="dxa"/>
            <w:vAlign w:val="center"/>
          </w:tcPr>
          <w:p>
            <w:pPr>
              <w:pStyle w:val="0"/>
            </w:pPr>
            <w:r>
              <w:rPr>
                <w:sz w:val="20"/>
              </w:rPr>
              <w:t xml:space="preserve">Пальценосовая проба</w:t>
            </w:r>
          </w:p>
        </w:tc>
        <w:tc>
          <w:tcPr>
            <w:tcW w:w="415" w:type="dxa"/>
            <w:vAlign w:val="center"/>
          </w:tcPr>
          <w:p>
            <w:pPr>
              <w:pStyle w:val="0"/>
              <w:jc w:val="center"/>
            </w:pPr>
            <w:r>
              <w:rPr>
                <w:sz w:val="20"/>
              </w:rPr>
              <w:t xml:space="preserve">D</w:t>
            </w:r>
          </w:p>
        </w:tc>
        <w:tc>
          <w:tcPr>
            <w:tcW w:w="528" w:type="dxa"/>
            <w:vAlign w:val="center"/>
          </w:tcPr>
          <w:p>
            <w:pPr>
              <w:pStyle w:val="0"/>
              <w:jc w:val="center"/>
            </w:pPr>
            <w:r>
              <w:rPr>
                <w:sz w:val="20"/>
              </w:rPr>
              <w:t xml:space="preserve">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4"/>
            <w:tcW w:w="1745" w:type="dxa"/>
            <w:vAlign w:val="center"/>
          </w:tcPr>
          <w:p>
            <w:pPr>
              <w:pStyle w:val="0"/>
            </w:pPr>
            <w:r>
              <w:rPr>
                <w:sz w:val="20"/>
              </w:rPr>
              <w:t xml:space="preserve">Пиломоторы</w:t>
            </w:r>
          </w:p>
        </w:tc>
        <w:tc>
          <w:tcPr>
            <w:gridSpan w:val="4"/>
            <w:tcW w:w="1825"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tcPr>
          <w:p>
            <w:pPr>
              <w:pStyle w:val="0"/>
            </w:pPr>
            <w:r>
              <w:rPr>
                <w:sz w:val="20"/>
              </w:rPr>
            </w:r>
          </w:p>
        </w:tc>
        <w:tc>
          <w:tcPr>
            <w:vMerge w:val="continue"/>
          </w:tcPr>
          <w:p/>
        </w:tc>
        <w:tc>
          <w:tcPr>
            <w:gridSpan w:val="3"/>
            <w:tcW w:w="2142" w:type="dxa"/>
            <w:vAlign w:val="center"/>
          </w:tcPr>
          <w:p>
            <w:pPr>
              <w:pStyle w:val="0"/>
            </w:pPr>
            <w:r>
              <w:rPr>
                <w:sz w:val="20"/>
              </w:rPr>
              <w:t xml:space="preserve">Коленно-пяточная проба</w:t>
            </w:r>
          </w:p>
        </w:tc>
        <w:tc>
          <w:tcPr>
            <w:tcW w:w="415" w:type="dxa"/>
            <w:vAlign w:val="center"/>
          </w:tcPr>
          <w:p>
            <w:pPr>
              <w:pStyle w:val="0"/>
              <w:jc w:val="center"/>
            </w:pPr>
            <w:r>
              <w:rPr>
                <w:sz w:val="20"/>
              </w:rPr>
              <w:t xml:space="preserve">D</w:t>
            </w:r>
          </w:p>
        </w:tc>
        <w:tc>
          <w:tcPr>
            <w:tcW w:w="528" w:type="dxa"/>
            <w:vAlign w:val="center"/>
          </w:tcPr>
          <w:p>
            <w:pPr>
              <w:pStyle w:val="0"/>
              <w:jc w:val="center"/>
            </w:pPr>
            <w:r>
              <w:rPr>
                <w:sz w:val="20"/>
              </w:rPr>
              <w:t xml:space="preserve">S</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4"/>
            <w:tcW w:w="1745" w:type="dxa"/>
            <w:vAlign w:val="center"/>
          </w:tcPr>
          <w:p>
            <w:pPr>
              <w:pStyle w:val="0"/>
            </w:pPr>
            <w:r>
              <w:rPr>
                <w:sz w:val="20"/>
              </w:rPr>
              <w:t xml:space="preserve">Сухость ладоней</w:t>
            </w:r>
          </w:p>
        </w:tc>
        <w:tc>
          <w:tcPr>
            <w:gridSpan w:val="4"/>
            <w:tcW w:w="1825"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6"/>
            <w:tcW w:w="3879" w:type="dxa"/>
            <w:vAlign w:val="center"/>
          </w:tcPr>
          <w:p>
            <w:pPr>
              <w:pStyle w:val="0"/>
            </w:pPr>
            <w:r>
              <w:rPr>
                <w:sz w:val="20"/>
              </w:rPr>
              <w:t xml:space="preserve">Устойчивость в позе Ромберга</w:t>
            </w:r>
          </w:p>
        </w:tc>
        <w:tc>
          <w:tcPr>
            <w:gridSpan w:val="2"/>
            <w:tcW w:w="843" w:type="dxa"/>
            <w:vAlign w:val="center"/>
          </w:tcPr>
          <w:p>
            <w:pPr>
              <w:pStyle w:val="0"/>
              <w:jc w:val="center"/>
            </w:pPr>
            <w:r>
              <w:rPr>
                <w:sz w:val="20"/>
              </w:rPr>
              <w:t xml:space="preserve">С</w:t>
            </w:r>
          </w:p>
        </w:tc>
        <w:tc>
          <w:tcPr>
            <w:gridSpan w:val="3"/>
            <w:tcW w:w="1304" w:type="dxa"/>
            <w:vAlign w:val="center"/>
          </w:tcPr>
          <w:p>
            <w:pPr>
              <w:pStyle w:val="0"/>
              <w:jc w:val="center"/>
            </w:pPr>
            <w:r>
              <w:rPr>
                <w:sz w:val="20"/>
              </w:rPr>
              <w:t xml:space="preserve">Н/С</w:t>
            </w:r>
          </w:p>
        </w:tc>
        <w:tc>
          <w:tcPr>
            <w:gridSpan w:val="2"/>
            <w:vMerge w:val="continue"/>
          </w:tcPr>
          <w:p/>
        </w:tc>
        <w:tc>
          <w:tcPr>
            <w:gridSpan w:val="4"/>
            <w:tcW w:w="1745" w:type="dxa"/>
            <w:vAlign w:val="center"/>
          </w:tcPr>
          <w:p>
            <w:pPr>
              <w:pStyle w:val="0"/>
            </w:pPr>
            <w:r>
              <w:rPr>
                <w:sz w:val="20"/>
              </w:rPr>
              <w:t xml:space="preserve">Артериальное давление</w:t>
            </w:r>
          </w:p>
        </w:tc>
        <w:tc>
          <w:tcPr>
            <w:gridSpan w:val="4"/>
            <w:tcW w:w="1825"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21"/>
            <w:tcW w:w="10446" w:type="dxa"/>
            <w:vAlign w:val="center"/>
          </w:tcPr>
          <w:p>
            <w:pPr>
              <w:pStyle w:val="0"/>
            </w:pPr>
            <w:r>
              <w:rPr>
                <w:sz w:val="20"/>
              </w:rPr>
              <w:t xml:space="preserve">Оценка приема психоактивных веществ:</w:t>
            </w:r>
          </w:p>
        </w:tc>
        <w:tc>
          <w:tcPr>
            <w:tcW w:w="567" w:type="dxa"/>
            <w:vAlign w:val="center"/>
          </w:tcPr>
          <w:p>
            <w:pPr>
              <w:pStyle w:val="0"/>
              <w:jc w:val="center"/>
            </w:pPr>
            <w:r>
              <w:rPr>
                <w:sz w:val="20"/>
              </w:rPr>
              <w:t xml:space="preserve">С</w:t>
            </w:r>
          </w:p>
        </w:tc>
        <w:tc>
          <w:tcPr>
            <w:gridSpan w:val="2"/>
            <w:tcW w:w="1031" w:type="dxa"/>
            <w:vAlign w:val="center"/>
          </w:tcPr>
          <w:p>
            <w:pPr>
              <w:pStyle w:val="0"/>
              <w:jc w:val="center"/>
            </w:pPr>
            <w:r>
              <w:rPr>
                <w:sz w:val="20"/>
              </w:rPr>
              <w:t xml:space="preserve">Н/С</w:t>
            </w:r>
          </w:p>
        </w:tc>
      </w:tr>
      <w:tr>
        <w:tc>
          <w:tcPr>
            <w:tcW w:w="340" w:type="dxa"/>
            <w:vAlign w:val="center"/>
          </w:tcPr>
          <w:p>
            <w:pPr>
              <w:pStyle w:val="0"/>
            </w:pPr>
            <w:r>
              <w:rPr>
                <w:sz w:val="20"/>
              </w:rPr>
            </w:r>
          </w:p>
        </w:tc>
        <w:tc>
          <w:tcPr>
            <w:gridSpan w:val="3"/>
            <w:tcW w:w="2369" w:type="dxa"/>
            <w:tcBorders>
              <w:right w:val="nil"/>
            </w:tcBorders>
          </w:tcPr>
          <w:p>
            <w:pPr>
              <w:pStyle w:val="0"/>
            </w:pPr>
            <w:r>
              <w:rPr>
                <w:sz w:val="20"/>
              </w:rPr>
              <w:t xml:space="preserve">дополнительно:</w:t>
            </w:r>
          </w:p>
        </w:tc>
        <w:tc>
          <w:tcPr>
            <w:gridSpan w:val="18"/>
            <w:tcW w:w="8077" w:type="dxa"/>
            <w:vAlign w:val="center"/>
            <w:tcBorders>
              <w:left w:val="nil"/>
            </w:tcBorders>
          </w:tcPr>
          <w:p>
            <w:pPr>
              <w:pStyle w:val="0"/>
              <w:jc w:val="center"/>
            </w:pPr>
            <w:r>
              <w:rPr>
                <w:sz w:val="20"/>
              </w:rPr>
              <w:t xml:space="preserve">описываются дополнительные сведения, рекомендации, указывается графа и статья соответствия/несоответствия (Н/С) требованиям по состоянию здоровья</w:t>
            </w:r>
          </w:p>
        </w:tc>
        <w:tc>
          <w:tcPr>
            <w:tcW w:w="567" w:type="dxa"/>
            <w:vAlign w:val="center"/>
            <w:vMerge w:val="restart"/>
          </w:tcPr>
          <w:p>
            <w:pPr>
              <w:pStyle w:val="0"/>
              <w:jc w:val="center"/>
            </w:pPr>
            <w:r>
              <w:rPr>
                <w:sz w:val="20"/>
              </w:rPr>
              <w:t xml:space="preserve">С</w:t>
            </w:r>
          </w:p>
        </w:tc>
        <w:tc>
          <w:tcPr>
            <w:gridSpan w:val="2"/>
            <w:tcW w:w="1031" w:type="dxa"/>
            <w:vAlign w:val="center"/>
            <w:vMerge w:val="restart"/>
          </w:tcPr>
          <w:p>
            <w:pPr>
              <w:pStyle w:val="0"/>
              <w:jc w:val="center"/>
            </w:pPr>
            <w:r>
              <w:rPr>
                <w:sz w:val="20"/>
              </w:rPr>
              <w:t xml:space="preserve">Н/С</w:t>
            </w:r>
          </w:p>
        </w:tc>
      </w:tr>
      <w:tr>
        <w:tc>
          <w:tcPr>
            <w:tcW w:w="340" w:type="dxa"/>
            <w:vAlign w:val="center"/>
            <w:vMerge w:val="restart"/>
          </w:tcPr>
          <w:p>
            <w:pPr>
              <w:pStyle w:val="0"/>
            </w:pPr>
            <w:r>
              <w:rPr>
                <w:sz w:val="20"/>
              </w:rPr>
            </w:r>
          </w:p>
        </w:tc>
        <w:tc>
          <w:tcPr>
            <w:gridSpan w:val="3"/>
            <w:tcW w:w="2369" w:type="dxa"/>
            <w:tcBorders>
              <w:bottom w:val="nil"/>
              <w:right w:val="nil"/>
            </w:tcBorders>
          </w:tcPr>
          <w:p>
            <w:pPr>
              <w:pStyle w:val="0"/>
            </w:pPr>
            <w:r>
              <w:rPr>
                <w:sz w:val="20"/>
              </w:rPr>
              <w:t xml:space="preserve">Диагноз:</w:t>
            </w:r>
          </w:p>
        </w:tc>
        <w:tc>
          <w:tcPr>
            <w:gridSpan w:val="18"/>
            <w:tcW w:w="8077" w:type="dxa"/>
            <w:tcBorders>
              <w:left w:val="nil"/>
              <w:bottom w:val="nil"/>
            </w:tcBorders>
          </w:tcPr>
          <w:p>
            <w:pPr>
              <w:pStyle w:val="0"/>
            </w:pPr>
            <w:r>
              <w:rPr>
                <w:sz w:val="20"/>
              </w:rPr>
            </w:r>
          </w:p>
        </w:tc>
        <w:tc>
          <w:tcPr>
            <w:vMerge w:val="continue"/>
          </w:tcPr>
          <w:p/>
        </w:tc>
        <w:tc>
          <w:tcPr>
            <w:gridSpan w:val="2"/>
            <w:vMerge w:val="continue"/>
          </w:tcPr>
          <w:p/>
        </w:tc>
      </w:tr>
      <w:tr>
        <w:tc>
          <w:tcPr>
            <w:vMerge w:val="continue"/>
          </w:tcPr>
          <w:p/>
        </w:tc>
        <w:tc>
          <w:tcPr>
            <w:gridSpan w:val="3"/>
            <w:tcW w:w="2369" w:type="dxa"/>
            <w:tcBorders>
              <w:top w:val="nil"/>
              <w:right w:val="nil"/>
            </w:tcBorders>
          </w:tcPr>
          <w:p>
            <w:pPr>
              <w:pStyle w:val="0"/>
            </w:pPr>
            <w:r>
              <w:rPr>
                <w:sz w:val="20"/>
              </w:rPr>
            </w:r>
          </w:p>
        </w:tc>
        <w:tc>
          <w:tcPr>
            <w:gridSpan w:val="18"/>
            <w:tcW w:w="8077" w:type="dxa"/>
            <w:tcBorders>
              <w:top w:val="nil"/>
              <w:left w:val="nil"/>
            </w:tcBorders>
          </w:tcPr>
          <w:p>
            <w:pPr>
              <w:pStyle w:val="0"/>
              <w:jc w:val="center"/>
            </w:pPr>
            <w:r>
              <w:rPr>
                <w:sz w:val="20"/>
              </w:rPr>
              <w:t xml:space="preserve">указывается полный клинический диагноз</w:t>
            </w:r>
          </w:p>
        </w:tc>
        <w:tc>
          <w:tcPr>
            <w:vMerge w:val="continue"/>
          </w:tcPr>
          <w:p/>
        </w:tc>
        <w:tc>
          <w:tcPr>
            <w:gridSpan w:val="2"/>
            <w:vMerge w:val="continue"/>
          </w:tcPr>
          <w:p/>
        </w:tc>
      </w:tr>
      <w:tr>
        <w:tc>
          <w:tcPr>
            <w:tcW w:w="340" w:type="dxa"/>
            <w:vAlign w:val="center"/>
            <w:vMerge w:val="restart"/>
          </w:tcPr>
          <w:p>
            <w:pPr>
              <w:pStyle w:val="0"/>
            </w:pPr>
            <w:r>
              <w:rPr>
                <w:sz w:val="20"/>
              </w:rPr>
            </w:r>
          </w:p>
        </w:tc>
        <w:tc>
          <w:tcPr>
            <w:gridSpan w:val="3"/>
            <w:tcW w:w="2369" w:type="dxa"/>
            <w:tcBorders>
              <w:bottom w:val="nil"/>
              <w:right w:val="nil"/>
            </w:tcBorders>
          </w:tcPr>
          <w:p>
            <w:pPr>
              <w:pStyle w:val="0"/>
            </w:pPr>
            <w:r>
              <w:rPr>
                <w:sz w:val="20"/>
              </w:rPr>
              <w:t xml:space="preserve">Код </w:t>
            </w:r>
            <w:hyperlink w:history="0" r:id="rId17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8"/>
            <w:tcW w:w="8077" w:type="dxa"/>
            <w:vAlign w:val="center"/>
            <w:tcBorders>
              <w:left w:val="nil"/>
              <w:bottom w:val="nil"/>
            </w:tcBorders>
          </w:tcPr>
          <w:p>
            <w:pPr>
              <w:pStyle w:val="0"/>
            </w:pPr>
            <w:r>
              <w:rPr>
                <w:sz w:val="20"/>
              </w:rPr>
            </w:r>
          </w:p>
        </w:tc>
        <w:tc>
          <w:tcPr>
            <w:gridSpan w:val="3"/>
            <w:tcW w:w="1598" w:type="dxa"/>
            <w:vAlign w:val="center"/>
            <w:vMerge w:val="restart"/>
          </w:tcPr>
          <w:p>
            <w:pPr>
              <w:pStyle w:val="0"/>
              <w:jc w:val="center"/>
            </w:pPr>
            <w:r>
              <w:rPr>
                <w:sz w:val="20"/>
              </w:rPr>
              <w:t xml:space="preserve">Фамилия, инициалы, подпись, печать врача</w:t>
            </w:r>
          </w:p>
        </w:tc>
      </w:tr>
      <w:tr>
        <w:tc>
          <w:tcPr>
            <w:vMerge w:val="continue"/>
          </w:tcPr>
          <w:p/>
        </w:tc>
        <w:tc>
          <w:tcPr>
            <w:gridSpan w:val="3"/>
            <w:tcW w:w="2369" w:type="dxa"/>
            <w:tcBorders>
              <w:top w:val="nil"/>
              <w:right w:val="nil"/>
            </w:tcBorders>
          </w:tcPr>
          <w:p>
            <w:pPr>
              <w:pStyle w:val="0"/>
            </w:pPr>
            <w:r>
              <w:rPr>
                <w:sz w:val="20"/>
              </w:rPr>
            </w:r>
          </w:p>
        </w:tc>
        <w:tc>
          <w:tcPr>
            <w:gridSpan w:val="18"/>
            <w:tcW w:w="8077" w:type="dxa"/>
            <w:vAlign w:val="center"/>
            <w:tcBorders>
              <w:top w:val="nil"/>
              <w:left w:val="nil"/>
            </w:tcBorders>
          </w:tcPr>
          <w:p>
            <w:pPr>
              <w:pStyle w:val="0"/>
              <w:jc w:val="center"/>
            </w:pPr>
            <w:r>
              <w:rPr>
                <w:sz w:val="20"/>
              </w:rPr>
              <w:t xml:space="preserve">указываются коды всех выявленных заболеваний и состояний</w:t>
            </w:r>
          </w:p>
        </w:tc>
        <w:tc>
          <w:tcPr>
            <w:gridSpan w:val="3"/>
            <w:vMerge w:val="continue"/>
          </w:tcPr>
          <w:p/>
        </w:tc>
      </w:tr>
      <w:tr>
        <w:tblPrEx>
          <w:tblBorders>
            <w:insideV w:val="nil"/>
          </w:tblBorders>
        </w:tblPrEx>
        <w:tc>
          <w:tcPr>
            <w:tcW w:w="340" w:type="dxa"/>
            <w:tcBorders>
              <w:left w:val="single" w:sz="4"/>
              <w:right w:val="single" w:sz="4"/>
            </w:tcBorders>
          </w:tcPr>
          <w:p>
            <w:pPr>
              <w:pStyle w:val="0"/>
            </w:pPr>
            <w:r>
              <w:rPr>
                <w:sz w:val="20"/>
              </w:rPr>
            </w:r>
          </w:p>
        </w:tc>
        <w:tc>
          <w:tcPr>
            <w:gridSpan w:val="20"/>
            <w:tcW w:w="10074" w:type="dxa"/>
            <w:tcBorders>
              <w:left w:val="single" w:sz="4"/>
            </w:tcBorders>
          </w:tcPr>
          <w:p>
            <w:pPr>
              <w:pStyle w:val="0"/>
              <w:jc w:val="center"/>
            </w:pPr>
            <w:r>
              <w:rPr>
                <w:sz w:val="20"/>
              </w:rPr>
              <w:t xml:space="preserve">Данные психологического и психофизиологического обследования</w:t>
            </w:r>
          </w:p>
        </w:tc>
        <w:tc>
          <w:tcPr>
            <w:gridSpan w:val="4"/>
            <w:tcW w:w="1970" w:type="dxa"/>
            <w:tcBorders>
              <w:right w:val="single" w:sz="4"/>
            </w:tcBorders>
          </w:tcPr>
          <w:p>
            <w:pPr>
              <w:pStyle w:val="0"/>
            </w:pPr>
            <w:r>
              <w:rPr>
                <w:sz w:val="20"/>
              </w:rPr>
              <w:t xml:space="preserve">Дата осмотра</w:t>
            </w:r>
          </w:p>
        </w:tc>
      </w:tr>
      <w:tr>
        <w:tc>
          <w:tcPr>
            <w:tcW w:w="340" w:type="dxa"/>
            <w:vMerge w:val="restart"/>
          </w:tcPr>
          <w:p>
            <w:pPr>
              <w:pStyle w:val="0"/>
            </w:pPr>
            <w:r>
              <w:rPr>
                <w:sz w:val="20"/>
              </w:rPr>
            </w:r>
          </w:p>
        </w:tc>
        <w:tc>
          <w:tcPr>
            <w:gridSpan w:val="24"/>
            <w:tcW w:w="12044" w:type="dxa"/>
            <w:tcBorders>
              <w:bottom w:val="nil"/>
            </w:tcBorders>
          </w:tcPr>
          <w:p>
            <w:pPr>
              <w:pStyle w:val="0"/>
            </w:pPr>
            <w:r>
              <w:rPr>
                <w:sz w:val="20"/>
              </w:rPr>
              <w:t xml:space="preserve">Жалобы, анамнез:</w:t>
            </w:r>
          </w:p>
        </w:tc>
      </w:tr>
      <w:tr>
        <w:tc>
          <w:tcPr>
            <w:vMerge w:val="continue"/>
          </w:tcPr>
          <w:p/>
        </w:tc>
        <w:tc>
          <w:tcPr>
            <w:gridSpan w:val="24"/>
            <w:tcW w:w="12044" w:type="dxa"/>
            <w:tcBorders>
              <w:top w:val="nil"/>
            </w:tcBorders>
          </w:tcPr>
          <w:p>
            <w:pPr>
              <w:pStyle w:val="0"/>
            </w:pPr>
            <w:r>
              <w:rPr>
                <w:sz w:val="20"/>
              </w:rPr>
            </w:r>
          </w:p>
        </w:tc>
      </w:tr>
      <w:tr>
        <w:tc>
          <w:tcPr>
            <w:tcW w:w="340" w:type="dxa"/>
            <w:vMerge w:val="restart"/>
          </w:tcPr>
          <w:p>
            <w:pPr>
              <w:pStyle w:val="0"/>
            </w:pPr>
            <w:r>
              <w:rPr>
                <w:sz w:val="20"/>
              </w:rPr>
            </w:r>
          </w:p>
        </w:tc>
        <w:tc>
          <w:tcPr>
            <w:gridSpan w:val="21"/>
            <w:tcW w:w="10446" w:type="dxa"/>
            <w:tcBorders>
              <w:bottom w:val="nil"/>
            </w:tcBorders>
          </w:tcPr>
          <w:p>
            <w:pPr>
              <w:pStyle w:val="0"/>
            </w:pPr>
            <w:r>
              <w:rPr>
                <w:sz w:val="20"/>
              </w:rPr>
              <w:t xml:space="preserve">Заключение:</w:t>
            </w:r>
          </w:p>
        </w:tc>
        <w:tc>
          <w:tcPr>
            <w:gridSpan w:val="3"/>
            <w:tcW w:w="1598" w:type="dxa"/>
            <w:vMerge w:val="restart"/>
          </w:tcPr>
          <w:p>
            <w:pPr>
              <w:pStyle w:val="0"/>
              <w:jc w:val="center"/>
            </w:pPr>
            <w:r>
              <w:rPr>
                <w:sz w:val="20"/>
              </w:rPr>
              <w:t xml:space="preserve">Фамилия, инициалы, подпись, печать врача</w:t>
            </w:r>
          </w:p>
        </w:tc>
      </w:tr>
      <w:tr>
        <w:tc>
          <w:tcPr>
            <w:vMerge w:val="continue"/>
          </w:tcPr>
          <w:p/>
        </w:tc>
        <w:tc>
          <w:tcPr>
            <w:gridSpan w:val="21"/>
            <w:tcW w:w="10446" w:type="dxa"/>
            <w:tcBorders>
              <w:top w:val="nil"/>
            </w:tcBorders>
          </w:tcPr>
          <w:p>
            <w:pPr>
              <w:pStyle w:val="0"/>
            </w:pPr>
            <w:r>
              <w:rPr>
                <w:sz w:val="20"/>
              </w:rPr>
            </w:r>
          </w:p>
        </w:tc>
        <w:tc>
          <w:tcPr>
            <w:gridSpan w:val="3"/>
            <w:vMerge w:val="continue"/>
          </w:tcPr>
          <w:p/>
        </w:tc>
      </w:tr>
      <w:tr>
        <w:tc>
          <w:tcPr>
            <w:tcW w:w="340" w:type="dxa"/>
            <w:vMerge w:val="restart"/>
          </w:tcPr>
          <w:p>
            <w:pPr>
              <w:pStyle w:val="0"/>
            </w:pPr>
            <w:r>
              <w:rPr>
                <w:sz w:val="20"/>
              </w:rPr>
            </w:r>
          </w:p>
        </w:tc>
        <w:tc>
          <w:tcPr>
            <w:gridSpan w:val="18"/>
            <w:tcW w:w="8960" w:type="dxa"/>
            <w:tcBorders>
              <w:bottom w:val="nil"/>
            </w:tcBorders>
          </w:tcPr>
          <w:p>
            <w:pPr>
              <w:pStyle w:val="0"/>
            </w:pPr>
            <w:r>
              <w:rPr>
                <w:sz w:val="20"/>
              </w:rPr>
              <w:t xml:space="preserve">Рекомендации:</w:t>
            </w:r>
          </w:p>
        </w:tc>
        <w:tc>
          <w:tcPr>
            <w:tcW w:w="694" w:type="dxa"/>
            <w:vAlign w:val="center"/>
            <w:vMerge w:val="restart"/>
          </w:tcPr>
          <w:p>
            <w:pPr>
              <w:pStyle w:val="0"/>
              <w:jc w:val="center"/>
            </w:pPr>
            <w:r>
              <w:rPr>
                <w:sz w:val="20"/>
              </w:rPr>
              <w:t xml:space="preserve">С</w:t>
            </w:r>
          </w:p>
        </w:tc>
        <w:tc>
          <w:tcPr>
            <w:gridSpan w:val="2"/>
            <w:tcW w:w="792" w:type="dxa"/>
            <w:vAlign w:val="center"/>
            <w:vMerge w:val="restart"/>
          </w:tcPr>
          <w:p>
            <w:pPr>
              <w:pStyle w:val="0"/>
              <w:jc w:val="center"/>
            </w:pPr>
            <w:r>
              <w:rPr>
                <w:sz w:val="20"/>
              </w:rPr>
              <w:t xml:space="preserve">Н/С</w:t>
            </w:r>
          </w:p>
        </w:tc>
        <w:tc>
          <w:tcPr>
            <w:gridSpan w:val="3"/>
            <w:vMerge w:val="continue"/>
          </w:tcPr>
          <w:p/>
        </w:tc>
      </w:tr>
      <w:tr>
        <w:tc>
          <w:tcPr>
            <w:vMerge w:val="continue"/>
          </w:tcPr>
          <w:p/>
        </w:tc>
        <w:tc>
          <w:tcPr>
            <w:gridSpan w:val="18"/>
            <w:tcW w:w="8960" w:type="dxa"/>
            <w:tcBorders>
              <w:top w:val="nil"/>
            </w:tcBorders>
          </w:tcPr>
          <w:p>
            <w:pPr>
              <w:pStyle w:val="0"/>
            </w:pPr>
            <w:r>
              <w:rPr>
                <w:sz w:val="20"/>
              </w:rPr>
            </w:r>
          </w:p>
        </w:tc>
        <w:tc>
          <w:tcPr>
            <w:vMerge w:val="continue"/>
          </w:tcPr>
          <w:p/>
        </w:tc>
        <w:tc>
          <w:tcPr>
            <w:gridSpan w:val="2"/>
            <w:vMerge w:val="continue"/>
          </w:tcPr>
          <w:p/>
        </w:tc>
        <w:tc>
          <w:tcPr>
            <w:gridSpan w:val="3"/>
            <w:vMerge w:val="continue"/>
          </w:tcPr>
          <w:p/>
        </w:tc>
      </w:tr>
      <w:tr>
        <w:tblPrEx>
          <w:tblBorders>
            <w:insideV w:val="nil"/>
          </w:tblBorders>
        </w:tblPrEx>
        <w:tc>
          <w:tcPr>
            <w:tcW w:w="340" w:type="dxa"/>
            <w:tcBorders>
              <w:left w:val="single" w:sz="4"/>
              <w:right w:val="single" w:sz="4"/>
            </w:tcBorders>
          </w:tcPr>
          <w:p>
            <w:pPr>
              <w:pStyle w:val="0"/>
            </w:pPr>
            <w:r>
              <w:rPr>
                <w:sz w:val="20"/>
              </w:rPr>
            </w:r>
          </w:p>
        </w:tc>
        <w:tc>
          <w:tcPr>
            <w:gridSpan w:val="20"/>
            <w:tcW w:w="10074" w:type="dxa"/>
            <w:tcBorders>
              <w:left w:val="single" w:sz="4"/>
            </w:tcBorders>
          </w:tcPr>
          <w:p>
            <w:pPr>
              <w:pStyle w:val="0"/>
              <w:jc w:val="center"/>
            </w:pPr>
            <w:r>
              <w:rPr>
                <w:sz w:val="20"/>
              </w:rPr>
              <w:t xml:space="preserve">Данные гинекологического обследования</w:t>
            </w:r>
          </w:p>
        </w:tc>
        <w:tc>
          <w:tcPr>
            <w:gridSpan w:val="4"/>
            <w:tcW w:w="1970" w:type="dxa"/>
            <w:tcBorders>
              <w:right w:val="single" w:sz="4"/>
            </w:tcBorders>
          </w:tcPr>
          <w:p>
            <w:pPr>
              <w:pStyle w:val="0"/>
              <w:jc w:val="right"/>
            </w:pPr>
            <w:r>
              <w:rPr>
                <w:sz w:val="20"/>
              </w:rPr>
              <w:t xml:space="preserve">Дата осмотра</w:t>
            </w:r>
          </w:p>
        </w:tc>
      </w:tr>
      <w:tr>
        <w:tc>
          <w:tcPr>
            <w:tcW w:w="340" w:type="dxa"/>
            <w:vMerge w:val="restart"/>
          </w:tcPr>
          <w:p>
            <w:pPr>
              <w:pStyle w:val="0"/>
            </w:pPr>
            <w:r>
              <w:rPr>
                <w:sz w:val="20"/>
              </w:rPr>
            </w:r>
          </w:p>
        </w:tc>
        <w:tc>
          <w:tcPr>
            <w:gridSpan w:val="24"/>
            <w:tcW w:w="12044" w:type="dxa"/>
            <w:tcBorders>
              <w:bottom w:val="nil"/>
            </w:tcBorders>
          </w:tcPr>
          <w:p>
            <w:pPr>
              <w:pStyle w:val="0"/>
            </w:pPr>
            <w:r>
              <w:rPr>
                <w:sz w:val="20"/>
              </w:rPr>
              <w:t xml:space="preserve">Жалобы, анамнез:</w:t>
            </w:r>
          </w:p>
        </w:tc>
      </w:tr>
      <w:tr>
        <w:tc>
          <w:tcPr>
            <w:vMerge w:val="continue"/>
          </w:tcPr>
          <w:p/>
        </w:tc>
        <w:tc>
          <w:tcPr>
            <w:gridSpan w:val="24"/>
            <w:tcW w:w="12044" w:type="dxa"/>
            <w:tcBorders>
              <w:top w:val="nil"/>
            </w:tcBorders>
          </w:tcPr>
          <w:p>
            <w:pPr>
              <w:pStyle w:val="0"/>
            </w:pPr>
            <w:r>
              <w:rPr>
                <w:sz w:val="20"/>
              </w:rPr>
            </w:r>
          </w:p>
        </w:tc>
      </w:tr>
      <w:tr>
        <w:tc>
          <w:tcPr>
            <w:tcW w:w="340" w:type="dxa"/>
          </w:tcPr>
          <w:p>
            <w:pPr>
              <w:pStyle w:val="0"/>
            </w:pPr>
            <w:r>
              <w:rPr>
                <w:sz w:val="20"/>
              </w:rPr>
            </w:r>
          </w:p>
        </w:tc>
        <w:tc>
          <w:tcPr>
            <w:gridSpan w:val="3"/>
            <w:tcW w:w="2369" w:type="dxa"/>
            <w:tcBorders>
              <w:right w:val="nil"/>
            </w:tcBorders>
          </w:tcPr>
          <w:p>
            <w:pPr>
              <w:pStyle w:val="0"/>
            </w:pPr>
            <w:r>
              <w:rPr>
                <w:sz w:val="20"/>
              </w:rPr>
              <w:t xml:space="preserve">Описание:</w:t>
            </w:r>
          </w:p>
        </w:tc>
        <w:tc>
          <w:tcPr>
            <w:gridSpan w:val="18"/>
            <w:tcW w:w="8077" w:type="dxa"/>
            <w:vAlign w:val="center"/>
            <w:tcBorders>
              <w:left w:val="nil"/>
            </w:tcBorders>
          </w:tcPr>
          <w:p>
            <w:pPr>
              <w:pStyle w:val="0"/>
              <w:jc w:val="center"/>
            </w:pPr>
            <w:r>
              <w:rPr>
                <w:sz w:val="20"/>
              </w:rPr>
              <w:t xml:space="preserve">описывается локальный статус, объективные данные, а также прочие сведения, рекомендации, указывается графа и статья соответствия/несоответствия (Н/С) требованиям по состоянию здоровья. В случае необходимости консультативное заключение подшивается в личное медицинское дело.</w:t>
            </w:r>
          </w:p>
        </w:tc>
        <w:tc>
          <w:tcPr>
            <w:tcW w:w="567" w:type="dxa"/>
            <w:vAlign w:val="center"/>
            <w:vMerge w:val="restart"/>
          </w:tcPr>
          <w:p>
            <w:pPr>
              <w:pStyle w:val="0"/>
              <w:jc w:val="center"/>
            </w:pPr>
            <w:r>
              <w:rPr>
                <w:sz w:val="20"/>
              </w:rPr>
              <w:t xml:space="preserve">С</w:t>
            </w:r>
          </w:p>
        </w:tc>
        <w:tc>
          <w:tcPr>
            <w:gridSpan w:val="2"/>
            <w:tcW w:w="1031" w:type="dxa"/>
            <w:vAlign w:val="center"/>
            <w:vMerge w:val="restart"/>
          </w:tcPr>
          <w:p>
            <w:pPr>
              <w:pStyle w:val="0"/>
              <w:jc w:val="center"/>
            </w:pPr>
            <w:r>
              <w:rPr>
                <w:sz w:val="20"/>
              </w:rPr>
              <w:t xml:space="preserve">Н/С</w:t>
            </w:r>
          </w:p>
        </w:tc>
      </w:tr>
      <w:tr>
        <w:tc>
          <w:tcPr>
            <w:tcW w:w="340" w:type="dxa"/>
          </w:tcPr>
          <w:p>
            <w:pPr>
              <w:pStyle w:val="0"/>
            </w:pPr>
            <w:r>
              <w:rPr>
                <w:sz w:val="20"/>
              </w:rPr>
            </w:r>
          </w:p>
        </w:tc>
        <w:tc>
          <w:tcPr>
            <w:gridSpan w:val="3"/>
            <w:tcW w:w="2369" w:type="dxa"/>
            <w:tcBorders>
              <w:right w:val="nil"/>
            </w:tcBorders>
          </w:tcPr>
          <w:p>
            <w:pPr>
              <w:pStyle w:val="0"/>
            </w:pPr>
            <w:r>
              <w:rPr>
                <w:sz w:val="20"/>
              </w:rPr>
              <w:t xml:space="preserve">Диагноз:</w:t>
            </w:r>
          </w:p>
        </w:tc>
        <w:tc>
          <w:tcPr>
            <w:gridSpan w:val="18"/>
            <w:tcW w:w="8077" w:type="dxa"/>
            <w:tcBorders>
              <w:left w:val="nil"/>
            </w:tcBorders>
          </w:tcPr>
          <w:p>
            <w:pPr>
              <w:pStyle w:val="0"/>
              <w:jc w:val="center"/>
            </w:pPr>
            <w:r>
              <w:rPr>
                <w:sz w:val="20"/>
              </w:rPr>
              <w:t xml:space="preserve">Указывается полный клинический диагноз</w:t>
            </w:r>
          </w:p>
        </w:tc>
        <w:tc>
          <w:tcPr>
            <w:vMerge w:val="continue"/>
          </w:tcPr>
          <w:p/>
        </w:tc>
        <w:tc>
          <w:tcPr>
            <w:gridSpan w:val="2"/>
            <w:vMerge w:val="continue"/>
          </w:tcPr>
          <w:p/>
        </w:tc>
      </w:tr>
      <w:tr>
        <w:tc>
          <w:tcPr>
            <w:tcW w:w="340" w:type="dxa"/>
            <w:vMerge w:val="restart"/>
          </w:tcPr>
          <w:p>
            <w:pPr>
              <w:pStyle w:val="0"/>
            </w:pPr>
            <w:r>
              <w:rPr>
                <w:sz w:val="20"/>
              </w:rPr>
            </w:r>
          </w:p>
        </w:tc>
        <w:tc>
          <w:tcPr>
            <w:gridSpan w:val="3"/>
            <w:tcW w:w="2369" w:type="dxa"/>
            <w:tcBorders>
              <w:bottom w:val="nil"/>
              <w:right w:val="nil"/>
            </w:tcBorders>
          </w:tcPr>
          <w:p>
            <w:pPr>
              <w:pStyle w:val="0"/>
            </w:pPr>
            <w:r>
              <w:rPr>
                <w:sz w:val="20"/>
              </w:rPr>
              <w:t xml:space="preserve">Код </w:t>
            </w:r>
            <w:hyperlink w:history="0" r:id="rId17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8"/>
            <w:tcW w:w="8077" w:type="dxa"/>
            <w:vAlign w:val="center"/>
            <w:tcBorders>
              <w:left w:val="nil"/>
              <w:bottom w:val="nil"/>
            </w:tcBorders>
          </w:tcPr>
          <w:p>
            <w:pPr>
              <w:pStyle w:val="0"/>
            </w:pPr>
            <w:r>
              <w:rPr>
                <w:sz w:val="20"/>
              </w:rPr>
            </w:r>
          </w:p>
        </w:tc>
        <w:tc>
          <w:tcPr>
            <w:gridSpan w:val="3"/>
            <w:tcW w:w="1598" w:type="dxa"/>
            <w:vAlign w:val="center"/>
            <w:vMerge w:val="restart"/>
          </w:tcPr>
          <w:p>
            <w:pPr>
              <w:pStyle w:val="0"/>
              <w:jc w:val="center"/>
            </w:pPr>
            <w:r>
              <w:rPr>
                <w:sz w:val="20"/>
              </w:rPr>
              <w:t xml:space="preserve">Фамилия, инициалы, подпись, печать врача</w:t>
            </w:r>
          </w:p>
        </w:tc>
      </w:tr>
      <w:tr>
        <w:tc>
          <w:tcPr>
            <w:vMerge w:val="continue"/>
          </w:tcPr>
          <w:p/>
        </w:tc>
        <w:tc>
          <w:tcPr>
            <w:gridSpan w:val="3"/>
            <w:tcW w:w="2369" w:type="dxa"/>
            <w:tcBorders>
              <w:top w:val="nil"/>
              <w:right w:val="nil"/>
            </w:tcBorders>
          </w:tcPr>
          <w:p>
            <w:pPr>
              <w:pStyle w:val="0"/>
            </w:pPr>
            <w:r>
              <w:rPr>
                <w:sz w:val="20"/>
              </w:rPr>
            </w:r>
          </w:p>
        </w:tc>
        <w:tc>
          <w:tcPr>
            <w:gridSpan w:val="18"/>
            <w:tcW w:w="8077" w:type="dxa"/>
            <w:vAlign w:val="center"/>
            <w:tcBorders>
              <w:top w:val="nil"/>
              <w:left w:val="nil"/>
            </w:tcBorders>
          </w:tcPr>
          <w:p>
            <w:pPr>
              <w:pStyle w:val="0"/>
              <w:jc w:val="center"/>
            </w:pPr>
            <w:r>
              <w:rPr>
                <w:sz w:val="20"/>
              </w:rPr>
              <w:t xml:space="preserve">Указываются коды всех выявленных заболеваний и состояний</w:t>
            </w:r>
          </w:p>
        </w:tc>
        <w:tc>
          <w:tcPr>
            <w:gridSpan w:val="3"/>
            <w:vMerge w:val="continue"/>
          </w:tcPr>
          <w:p/>
        </w:tc>
      </w:tr>
      <w:tr>
        <w:tblPrEx>
          <w:tblBorders>
            <w:insideV w:val="nil"/>
          </w:tblBorders>
        </w:tblPrEx>
        <w:tc>
          <w:tcPr>
            <w:gridSpan w:val="21"/>
            <w:tcW w:w="10414" w:type="dxa"/>
            <w:tcBorders>
              <w:left w:val="single" w:sz="4"/>
            </w:tcBorders>
          </w:tcPr>
          <w:p>
            <w:pPr>
              <w:pStyle w:val="0"/>
              <w:jc w:val="center"/>
            </w:pPr>
            <w:r>
              <w:rPr>
                <w:sz w:val="20"/>
              </w:rPr>
              <w:t xml:space="preserve">Данные стоматологического обследования</w:t>
            </w:r>
          </w:p>
        </w:tc>
        <w:tc>
          <w:tcPr>
            <w:gridSpan w:val="3"/>
            <w:tcW w:w="1630" w:type="dxa"/>
            <w:tcBorders>
              <w:right w:val="single" w:sz="4"/>
            </w:tcBorders>
          </w:tcPr>
          <w:p>
            <w:pPr>
              <w:pStyle w:val="0"/>
              <w:jc w:val="right"/>
            </w:pPr>
            <w:r>
              <w:rPr>
                <w:sz w:val="20"/>
              </w:rPr>
              <w:t xml:space="preserve">Дата осмотра</w:t>
            </w:r>
          </w:p>
        </w:tc>
        <w:tc>
          <w:tcPr>
            <w:tcW w:w="340" w:type="dxa"/>
            <w:tcBorders>
              <w:left w:val="single" w:sz="4"/>
              <w:right w:val="single" w:sz="4"/>
            </w:tcBorders>
          </w:tcPr>
          <w:p>
            <w:pPr>
              <w:pStyle w:val="0"/>
            </w:pPr>
            <w:r>
              <w:rPr>
                <w:sz w:val="20"/>
              </w:rPr>
            </w:r>
          </w:p>
        </w:tc>
      </w:tr>
      <w:tr>
        <w:tc>
          <w:tcPr>
            <w:gridSpan w:val="24"/>
            <w:tcW w:w="12044" w:type="dxa"/>
          </w:tcPr>
          <w:p>
            <w:pPr>
              <w:pStyle w:val="0"/>
            </w:pPr>
            <w:r>
              <w:rPr>
                <w:sz w:val="20"/>
              </w:rPr>
              <w:t xml:space="preserve">Жалобы, анамнез:</w:t>
            </w:r>
          </w:p>
        </w:tc>
        <w:tc>
          <w:tcPr>
            <w:tcW w:w="340" w:type="dxa"/>
          </w:tcPr>
          <w:p>
            <w:pPr>
              <w:pStyle w:val="0"/>
            </w:pPr>
            <w:r>
              <w:rPr>
                <w:sz w:val="20"/>
              </w:rPr>
            </w:r>
          </w:p>
        </w:tc>
      </w:tr>
      <w:tr>
        <w:tc>
          <w:tcPr>
            <w:gridSpan w:val="4"/>
            <w:tcW w:w="2709" w:type="dxa"/>
            <w:tcBorders>
              <w:right w:val="nil"/>
            </w:tcBorders>
          </w:tcPr>
          <w:p>
            <w:pPr>
              <w:pStyle w:val="0"/>
            </w:pPr>
            <w:r>
              <w:rPr>
                <w:sz w:val="20"/>
              </w:rPr>
              <w:t xml:space="preserve">Описание:</w:t>
            </w:r>
          </w:p>
        </w:tc>
        <w:tc>
          <w:tcPr>
            <w:gridSpan w:val="18"/>
            <w:tcW w:w="8077" w:type="dxa"/>
            <w:vAlign w:val="center"/>
            <w:tcBorders>
              <w:left w:val="nil"/>
            </w:tcBorders>
          </w:tcPr>
          <w:p>
            <w:pPr>
              <w:pStyle w:val="0"/>
              <w:jc w:val="center"/>
            </w:pPr>
            <w:r>
              <w:rPr>
                <w:sz w:val="20"/>
              </w:rPr>
              <w:t xml:space="preserve">описывается локальный статус, объективные данные, а также прочие сведения, рекомендации, указывается графа и статья соответствия/несоответствия (Н/С) требованиям по состоянию здоровья. В случае необходимости консультативное заключение подшивается в личное медицинское дело.</w:t>
            </w:r>
          </w:p>
        </w:tc>
        <w:tc>
          <w:tcPr>
            <w:tcW w:w="567" w:type="dxa"/>
            <w:vAlign w:val="center"/>
            <w:vMerge w:val="restart"/>
          </w:tcPr>
          <w:p>
            <w:pPr>
              <w:pStyle w:val="0"/>
              <w:jc w:val="center"/>
            </w:pPr>
            <w:r>
              <w:rPr>
                <w:sz w:val="20"/>
              </w:rPr>
              <w:t xml:space="preserve">С</w:t>
            </w:r>
          </w:p>
        </w:tc>
        <w:tc>
          <w:tcPr>
            <w:tcW w:w="691" w:type="dxa"/>
            <w:vAlign w:val="center"/>
            <w:vMerge w:val="restart"/>
          </w:tcPr>
          <w:p>
            <w:pPr>
              <w:pStyle w:val="0"/>
              <w:jc w:val="center"/>
            </w:pPr>
            <w:r>
              <w:rPr>
                <w:sz w:val="20"/>
              </w:rPr>
              <w:t xml:space="preserve">Н/С</w:t>
            </w:r>
          </w:p>
        </w:tc>
        <w:tc>
          <w:tcPr>
            <w:tcW w:w="340" w:type="dxa"/>
          </w:tcPr>
          <w:p>
            <w:pPr>
              <w:pStyle w:val="0"/>
            </w:pPr>
            <w:r>
              <w:rPr>
                <w:sz w:val="20"/>
              </w:rPr>
            </w:r>
          </w:p>
        </w:tc>
      </w:tr>
      <w:tr>
        <w:tc>
          <w:tcPr>
            <w:gridSpan w:val="4"/>
            <w:tcW w:w="2709" w:type="dxa"/>
            <w:tcBorders>
              <w:bottom w:val="nil"/>
              <w:right w:val="nil"/>
            </w:tcBorders>
          </w:tcPr>
          <w:p>
            <w:pPr>
              <w:pStyle w:val="0"/>
            </w:pPr>
            <w:r>
              <w:rPr>
                <w:sz w:val="20"/>
              </w:rPr>
              <w:t xml:space="preserve">Диагноз:</w:t>
            </w:r>
          </w:p>
        </w:tc>
        <w:tc>
          <w:tcPr>
            <w:gridSpan w:val="18"/>
            <w:tcW w:w="8077" w:type="dxa"/>
            <w:vAlign w:val="center"/>
            <w:tcBorders>
              <w:left w:val="nil"/>
              <w:bottom w:val="nil"/>
            </w:tcBorders>
          </w:tcPr>
          <w:p>
            <w:pPr>
              <w:pStyle w:val="0"/>
            </w:pPr>
            <w:r>
              <w:rPr>
                <w:sz w:val="20"/>
              </w:rPr>
            </w:r>
          </w:p>
        </w:tc>
        <w:tc>
          <w:tcPr>
            <w:vMerge w:val="continue"/>
          </w:tcPr>
          <w:p/>
        </w:tc>
        <w:tc>
          <w:tcPr>
            <w:vMerge w:val="continue"/>
          </w:tcPr>
          <w:p/>
        </w:tc>
        <w:tc>
          <w:tcPr>
            <w:tcW w:w="340" w:type="dxa"/>
            <w:vMerge w:val="restart"/>
          </w:tcPr>
          <w:p>
            <w:pPr>
              <w:pStyle w:val="0"/>
            </w:pPr>
            <w:r>
              <w:rPr>
                <w:sz w:val="20"/>
              </w:rPr>
            </w:r>
          </w:p>
        </w:tc>
      </w:tr>
      <w:tr>
        <w:tc>
          <w:tcPr>
            <w:gridSpan w:val="4"/>
            <w:tcW w:w="2709" w:type="dxa"/>
            <w:tcBorders>
              <w:top w:val="nil"/>
              <w:right w:val="nil"/>
            </w:tcBorders>
          </w:tcPr>
          <w:p>
            <w:pPr>
              <w:pStyle w:val="0"/>
            </w:pPr>
            <w:r>
              <w:rPr>
                <w:sz w:val="20"/>
              </w:rPr>
            </w:r>
          </w:p>
        </w:tc>
        <w:tc>
          <w:tcPr>
            <w:gridSpan w:val="18"/>
            <w:tcW w:w="8077" w:type="dxa"/>
            <w:tcBorders>
              <w:top w:val="nil"/>
              <w:left w:val="nil"/>
            </w:tcBorders>
          </w:tcPr>
          <w:p>
            <w:pPr>
              <w:pStyle w:val="0"/>
              <w:jc w:val="center"/>
            </w:pPr>
            <w:r>
              <w:rPr>
                <w:sz w:val="20"/>
              </w:rPr>
              <w:t xml:space="preserve">Указывается полный клинический диагноз</w:t>
            </w:r>
          </w:p>
        </w:tc>
        <w:tc>
          <w:tcPr>
            <w:vMerge w:val="continue"/>
          </w:tcPr>
          <w:p/>
        </w:tc>
        <w:tc>
          <w:tcPr>
            <w:vMerge w:val="continue"/>
          </w:tcPr>
          <w:p/>
        </w:tc>
        <w:tc>
          <w:tcPr>
            <w:vMerge w:val="continue"/>
          </w:tcPr>
          <w:p/>
        </w:tc>
      </w:tr>
      <w:tr>
        <w:tc>
          <w:tcPr>
            <w:gridSpan w:val="4"/>
            <w:tcW w:w="2709" w:type="dxa"/>
            <w:tcBorders>
              <w:bottom w:val="nil"/>
              <w:right w:val="nil"/>
            </w:tcBorders>
          </w:tcPr>
          <w:p>
            <w:pPr>
              <w:pStyle w:val="0"/>
            </w:pPr>
            <w:r>
              <w:rPr>
                <w:sz w:val="20"/>
              </w:rPr>
              <w:t xml:space="preserve">Код </w:t>
            </w:r>
            <w:hyperlink w:history="0" r:id="rId17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8"/>
            <w:tcW w:w="8077" w:type="dxa"/>
            <w:tcBorders>
              <w:left w:val="nil"/>
              <w:bottom w:val="nil"/>
            </w:tcBorders>
          </w:tcPr>
          <w:p>
            <w:pPr>
              <w:pStyle w:val="0"/>
            </w:pPr>
            <w:r>
              <w:rPr>
                <w:sz w:val="20"/>
              </w:rPr>
            </w:r>
          </w:p>
        </w:tc>
        <w:tc>
          <w:tcPr>
            <w:gridSpan w:val="2"/>
            <w:tcW w:w="1258" w:type="dxa"/>
            <w:vAlign w:val="center"/>
            <w:vMerge w:val="restart"/>
          </w:tcPr>
          <w:p>
            <w:pPr>
              <w:pStyle w:val="0"/>
              <w:jc w:val="center"/>
            </w:pPr>
            <w:r>
              <w:rPr>
                <w:sz w:val="20"/>
              </w:rPr>
              <w:t xml:space="preserve">Фамилия, инициалы, подпись, печать врача</w:t>
            </w:r>
          </w:p>
        </w:tc>
        <w:tc>
          <w:tcPr>
            <w:tcW w:w="340" w:type="dxa"/>
            <w:vMerge w:val="restart"/>
          </w:tcPr>
          <w:p>
            <w:pPr>
              <w:pStyle w:val="0"/>
            </w:pPr>
            <w:r>
              <w:rPr>
                <w:sz w:val="20"/>
              </w:rPr>
            </w:r>
          </w:p>
        </w:tc>
      </w:tr>
      <w:tr>
        <w:tc>
          <w:tcPr>
            <w:gridSpan w:val="4"/>
            <w:tcW w:w="2709" w:type="dxa"/>
            <w:tcBorders>
              <w:top w:val="nil"/>
              <w:right w:val="nil"/>
            </w:tcBorders>
          </w:tcPr>
          <w:p>
            <w:pPr>
              <w:pStyle w:val="0"/>
            </w:pPr>
            <w:r>
              <w:rPr>
                <w:sz w:val="20"/>
              </w:rPr>
            </w:r>
          </w:p>
        </w:tc>
        <w:tc>
          <w:tcPr>
            <w:gridSpan w:val="18"/>
            <w:tcW w:w="8077" w:type="dxa"/>
            <w:vAlign w:val="center"/>
            <w:tcBorders>
              <w:top w:val="nil"/>
              <w:left w:val="nil"/>
            </w:tcBorders>
          </w:tcPr>
          <w:p>
            <w:pPr>
              <w:pStyle w:val="0"/>
              <w:jc w:val="center"/>
            </w:pPr>
            <w:r>
              <w:rPr>
                <w:sz w:val="20"/>
              </w:rPr>
              <w:t xml:space="preserve">Указываются коды всех выявленных заболеваний и состояний</w:t>
            </w:r>
          </w:p>
        </w:tc>
        <w:tc>
          <w:tcPr>
            <w:gridSpan w:val="2"/>
            <w:vMerge w:val="continue"/>
          </w:tcPr>
          <w:p/>
        </w:tc>
        <w:tc>
          <w:tcPr>
            <w:vMerge w:val="continue"/>
          </w:tcPr>
          <w:p/>
        </w:tc>
      </w:tr>
      <w:tr>
        <w:tc>
          <w:tcPr>
            <w:gridSpan w:val="22"/>
            <w:tcW w:w="10786" w:type="dxa"/>
          </w:tcPr>
          <w:p>
            <w:pPr>
              <w:pStyle w:val="0"/>
              <w:jc w:val="center"/>
            </w:pPr>
            <w:r>
              <w:rPr>
                <w:sz w:val="20"/>
              </w:rPr>
              <w:t xml:space="preserve">Данные профпатологического обследования</w:t>
            </w:r>
          </w:p>
        </w:tc>
        <w:tc>
          <w:tcPr>
            <w:gridSpan w:val="2"/>
            <w:tcW w:w="1258" w:type="dxa"/>
          </w:tcPr>
          <w:p>
            <w:pPr>
              <w:pStyle w:val="0"/>
            </w:pPr>
            <w:r>
              <w:rPr>
                <w:sz w:val="20"/>
              </w:rPr>
            </w:r>
          </w:p>
        </w:tc>
        <w:tc>
          <w:tcPr>
            <w:tcW w:w="340" w:type="dxa"/>
          </w:tcPr>
          <w:p>
            <w:pPr>
              <w:pStyle w:val="0"/>
            </w:pPr>
            <w:r>
              <w:rPr>
                <w:sz w:val="20"/>
              </w:rPr>
            </w:r>
          </w:p>
        </w:tc>
      </w:tr>
      <w:tr>
        <w:tc>
          <w:tcPr>
            <w:gridSpan w:val="4"/>
            <w:tcW w:w="2709" w:type="dxa"/>
            <w:tcBorders>
              <w:right w:val="nil"/>
            </w:tcBorders>
          </w:tcPr>
          <w:p>
            <w:pPr>
              <w:pStyle w:val="0"/>
            </w:pPr>
            <w:r>
              <w:rPr>
                <w:sz w:val="20"/>
              </w:rPr>
              <w:t xml:space="preserve">Профессия</w:t>
            </w:r>
          </w:p>
        </w:tc>
        <w:tc>
          <w:tcPr>
            <w:gridSpan w:val="18"/>
            <w:tcW w:w="8077" w:type="dxa"/>
            <w:tcBorders>
              <w:left w:val="nil"/>
            </w:tcBorders>
          </w:tcPr>
          <w:p>
            <w:pPr>
              <w:pStyle w:val="0"/>
            </w:pPr>
            <w:r>
              <w:rPr>
                <w:sz w:val="20"/>
              </w:rPr>
            </w:r>
          </w:p>
        </w:tc>
        <w:tc>
          <w:tcPr>
            <w:gridSpan w:val="2"/>
            <w:tcW w:w="1258" w:type="dxa"/>
          </w:tcPr>
          <w:p>
            <w:pPr>
              <w:pStyle w:val="0"/>
            </w:pPr>
            <w:r>
              <w:rPr>
                <w:sz w:val="20"/>
              </w:rPr>
            </w:r>
          </w:p>
        </w:tc>
        <w:tc>
          <w:tcPr>
            <w:tcW w:w="340" w:type="dxa"/>
          </w:tcPr>
          <w:p>
            <w:pPr>
              <w:pStyle w:val="0"/>
            </w:pPr>
            <w:r>
              <w:rPr>
                <w:sz w:val="20"/>
              </w:rPr>
            </w:r>
          </w:p>
        </w:tc>
      </w:tr>
      <w:tr>
        <w:tc>
          <w:tcPr>
            <w:gridSpan w:val="4"/>
            <w:tcW w:w="2709" w:type="dxa"/>
            <w:tcBorders>
              <w:right w:val="nil"/>
            </w:tcBorders>
          </w:tcPr>
          <w:p>
            <w:pPr>
              <w:pStyle w:val="0"/>
            </w:pPr>
            <w:r>
              <w:rPr>
                <w:sz w:val="20"/>
              </w:rPr>
              <w:t xml:space="preserve">Перечень вредных факторов и видов работ</w:t>
            </w:r>
          </w:p>
        </w:tc>
        <w:tc>
          <w:tcPr>
            <w:gridSpan w:val="18"/>
            <w:tcW w:w="8077" w:type="dxa"/>
            <w:tcBorders>
              <w:left w:val="nil"/>
            </w:tcBorders>
          </w:tcPr>
          <w:p>
            <w:pPr>
              <w:pStyle w:val="0"/>
            </w:pPr>
            <w:r>
              <w:rPr>
                <w:sz w:val="20"/>
              </w:rPr>
            </w:r>
          </w:p>
        </w:tc>
        <w:tc>
          <w:tcPr>
            <w:gridSpan w:val="2"/>
            <w:tcW w:w="1258" w:type="dxa"/>
          </w:tcPr>
          <w:p>
            <w:pPr>
              <w:pStyle w:val="0"/>
              <w:jc w:val="center"/>
            </w:pPr>
            <w:r>
              <w:rPr>
                <w:sz w:val="20"/>
              </w:rPr>
              <w:t xml:space="preserve">Фамилия, инициалы, подпись, печать врача</w:t>
            </w:r>
          </w:p>
        </w:tc>
        <w:tc>
          <w:tcPr>
            <w:tcW w:w="340" w:type="dxa"/>
          </w:tcPr>
          <w:p>
            <w:pPr>
              <w:pStyle w:val="0"/>
            </w:pPr>
            <w:r>
              <w:rPr>
                <w:sz w:val="20"/>
              </w:rPr>
            </w:r>
          </w:p>
        </w:tc>
      </w:tr>
      <w:tr>
        <w:tc>
          <w:tcPr>
            <w:gridSpan w:val="4"/>
            <w:tcW w:w="2709" w:type="dxa"/>
            <w:tcBorders>
              <w:right w:val="nil"/>
            </w:tcBorders>
          </w:tcPr>
          <w:p>
            <w:pPr>
              <w:pStyle w:val="0"/>
            </w:pPr>
            <w:r>
              <w:rPr>
                <w:sz w:val="20"/>
              </w:rPr>
              <w:t xml:space="preserve">Заключение: Рекомендации</w:t>
            </w:r>
          </w:p>
        </w:tc>
        <w:tc>
          <w:tcPr>
            <w:gridSpan w:val="15"/>
            <w:tcW w:w="6591" w:type="dxa"/>
            <w:tcBorders>
              <w:left w:val="nil"/>
            </w:tcBorders>
          </w:tcPr>
          <w:p>
            <w:pPr>
              <w:pStyle w:val="0"/>
            </w:pPr>
            <w:r>
              <w:rPr>
                <w:sz w:val="20"/>
              </w:rPr>
            </w:r>
          </w:p>
        </w:tc>
        <w:tc>
          <w:tcPr>
            <w:tcW w:w="694" w:type="dxa"/>
            <w:vAlign w:val="center"/>
          </w:tcPr>
          <w:p>
            <w:pPr>
              <w:pStyle w:val="0"/>
              <w:jc w:val="center"/>
            </w:pPr>
            <w:r>
              <w:rPr>
                <w:sz w:val="20"/>
              </w:rPr>
              <w:t xml:space="preserve">С</w:t>
            </w:r>
          </w:p>
        </w:tc>
        <w:tc>
          <w:tcPr>
            <w:gridSpan w:val="2"/>
            <w:tcW w:w="792" w:type="dxa"/>
            <w:vAlign w:val="center"/>
          </w:tcPr>
          <w:p>
            <w:pPr>
              <w:pStyle w:val="0"/>
              <w:jc w:val="center"/>
            </w:pPr>
            <w:r>
              <w:rPr>
                <w:sz w:val="20"/>
              </w:rPr>
              <w:t xml:space="preserve">Н/С</w:t>
            </w:r>
          </w:p>
        </w:tc>
        <w:tc>
          <w:tcPr>
            <w:gridSpan w:val="2"/>
            <w:tcW w:w="1258" w:type="dxa"/>
          </w:tcPr>
          <w:p>
            <w:pPr>
              <w:pStyle w:val="0"/>
            </w:pPr>
            <w:r>
              <w:rPr>
                <w:sz w:val="20"/>
              </w:rPr>
            </w:r>
          </w:p>
        </w:tc>
        <w:tc>
          <w:tcPr>
            <w:tcW w:w="340" w:type="dxa"/>
          </w:tcPr>
          <w:p>
            <w:pPr>
              <w:pStyle w:val="0"/>
            </w:pPr>
            <w:r>
              <w:rPr>
                <w:sz w:val="20"/>
              </w:rPr>
            </w:r>
          </w:p>
        </w:tc>
      </w:tr>
      <w:tr>
        <w:tblPrEx>
          <w:tblBorders>
            <w:insideV w:val="nil"/>
          </w:tblBorders>
        </w:tblPrEx>
        <w:tc>
          <w:tcPr>
            <w:gridSpan w:val="21"/>
            <w:tcW w:w="10414" w:type="dxa"/>
            <w:tcBorders>
              <w:left w:val="single" w:sz="4"/>
            </w:tcBorders>
          </w:tcPr>
          <w:p>
            <w:pPr>
              <w:pStyle w:val="0"/>
              <w:jc w:val="center"/>
            </w:pPr>
            <w:r>
              <w:rPr>
                <w:sz w:val="20"/>
              </w:rPr>
              <w:t xml:space="preserve">Данные хирургического обследования</w:t>
            </w:r>
          </w:p>
        </w:tc>
        <w:tc>
          <w:tcPr>
            <w:gridSpan w:val="3"/>
            <w:tcW w:w="1630" w:type="dxa"/>
            <w:tcBorders>
              <w:right w:val="single" w:sz="4"/>
            </w:tcBorders>
          </w:tcPr>
          <w:p>
            <w:pPr>
              <w:pStyle w:val="0"/>
              <w:jc w:val="right"/>
            </w:pPr>
            <w:r>
              <w:rPr>
                <w:sz w:val="20"/>
              </w:rPr>
              <w:t xml:space="preserve">Дата осмотра</w:t>
            </w:r>
          </w:p>
        </w:tc>
        <w:tc>
          <w:tcPr>
            <w:tcW w:w="340" w:type="dxa"/>
            <w:tcBorders>
              <w:left w:val="single" w:sz="4"/>
              <w:right w:val="single" w:sz="4"/>
            </w:tcBorders>
          </w:tcPr>
          <w:p>
            <w:pPr>
              <w:pStyle w:val="0"/>
            </w:pPr>
            <w:r>
              <w:rPr>
                <w:sz w:val="20"/>
              </w:rPr>
            </w:r>
          </w:p>
        </w:tc>
      </w:tr>
      <w:tr>
        <w:tc>
          <w:tcPr>
            <w:gridSpan w:val="24"/>
            <w:tcW w:w="12044" w:type="dxa"/>
          </w:tcPr>
          <w:p>
            <w:pPr>
              <w:pStyle w:val="0"/>
            </w:pPr>
            <w:r>
              <w:rPr>
                <w:sz w:val="20"/>
              </w:rPr>
              <w:t xml:space="preserve">Жалобы, анамнез:</w:t>
            </w:r>
          </w:p>
        </w:tc>
        <w:tc>
          <w:tcPr>
            <w:tcW w:w="340" w:type="dxa"/>
          </w:tcPr>
          <w:p>
            <w:pPr>
              <w:pStyle w:val="0"/>
            </w:pPr>
            <w:r>
              <w:rPr>
                <w:sz w:val="20"/>
              </w:rPr>
            </w:r>
          </w:p>
        </w:tc>
      </w:tr>
      <w:tr>
        <w:tc>
          <w:tcPr>
            <w:gridSpan w:val="4"/>
            <w:tcW w:w="2709" w:type="dxa"/>
            <w:vAlign w:val="center"/>
          </w:tcPr>
          <w:p>
            <w:pPr>
              <w:pStyle w:val="0"/>
            </w:pPr>
            <w:r>
              <w:rPr>
                <w:sz w:val="20"/>
              </w:rPr>
              <w:t xml:space="preserve">Кожа и п/к клетчатка</w:t>
            </w:r>
          </w:p>
        </w:tc>
        <w:tc>
          <w:tcPr>
            <w:gridSpan w:val="3"/>
            <w:tcW w:w="1510" w:type="dxa"/>
            <w:vAlign w:val="center"/>
          </w:tcPr>
          <w:p>
            <w:pPr>
              <w:pStyle w:val="0"/>
              <w:jc w:val="center"/>
            </w:pPr>
            <w:r>
              <w:rPr>
                <w:sz w:val="20"/>
              </w:rPr>
              <w:t xml:space="preserve">описание</w:t>
            </w:r>
          </w:p>
        </w:tc>
        <w:tc>
          <w:tcPr>
            <w:gridSpan w:val="3"/>
            <w:tcW w:w="1126" w:type="dxa"/>
            <w:vAlign w:val="center"/>
          </w:tcPr>
          <w:p>
            <w:pPr>
              <w:pStyle w:val="0"/>
              <w:jc w:val="center"/>
            </w:pPr>
            <w:r>
              <w:rPr>
                <w:sz w:val="20"/>
              </w:rPr>
              <w:t xml:space="preserve">С</w:t>
            </w:r>
          </w:p>
        </w:tc>
        <w:tc>
          <w:tcPr>
            <w:gridSpan w:val="2"/>
            <w:tcW w:w="1021" w:type="dxa"/>
            <w:vAlign w:val="center"/>
          </w:tcPr>
          <w:p>
            <w:pPr>
              <w:pStyle w:val="0"/>
              <w:jc w:val="center"/>
            </w:pPr>
            <w:r>
              <w:rPr>
                <w:sz w:val="20"/>
              </w:rPr>
              <w:t xml:space="preserve">Н/С</w:t>
            </w:r>
          </w:p>
        </w:tc>
        <w:tc>
          <w:tcPr>
            <w:gridSpan w:val="5"/>
            <w:tcW w:w="2254" w:type="dxa"/>
          </w:tcPr>
          <w:p>
            <w:pPr>
              <w:pStyle w:val="0"/>
            </w:pPr>
            <w:r>
              <w:rPr>
                <w:sz w:val="20"/>
              </w:rPr>
              <w:t xml:space="preserve">Мочеполовые органы</w:t>
            </w:r>
          </w:p>
        </w:tc>
        <w:tc>
          <w:tcPr>
            <w:gridSpan w:val="5"/>
            <w:tcW w:w="2166"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vAlign w:val="center"/>
          </w:tcPr>
          <w:p>
            <w:pPr>
              <w:pStyle w:val="0"/>
            </w:pPr>
            <w:r>
              <w:rPr>
                <w:sz w:val="20"/>
              </w:rPr>
            </w:r>
          </w:p>
        </w:tc>
      </w:tr>
      <w:tr>
        <w:tc>
          <w:tcPr>
            <w:gridSpan w:val="4"/>
            <w:tcW w:w="2709" w:type="dxa"/>
            <w:vAlign w:val="center"/>
          </w:tcPr>
          <w:p>
            <w:pPr>
              <w:pStyle w:val="0"/>
            </w:pPr>
            <w:r>
              <w:rPr>
                <w:sz w:val="20"/>
              </w:rPr>
              <w:t xml:space="preserve">Костно-суставной аппарат, череп</w:t>
            </w:r>
          </w:p>
        </w:tc>
        <w:tc>
          <w:tcPr>
            <w:gridSpan w:val="3"/>
            <w:tcW w:w="1510" w:type="dxa"/>
            <w:vAlign w:val="center"/>
          </w:tcPr>
          <w:p>
            <w:pPr>
              <w:pStyle w:val="0"/>
              <w:jc w:val="center"/>
            </w:pPr>
            <w:r>
              <w:rPr>
                <w:sz w:val="20"/>
              </w:rPr>
              <w:t xml:space="preserve">описание</w:t>
            </w:r>
          </w:p>
        </w:tc>
        <w:tc>
          <w:tcPr>
            <w:gridSpan w:val="3"/>
            <w:tcW w:w="1126" w:type="dxa"/>
            <w:vAlign w:val="center"/>
          </w:tcPr>
          <w:p>
            <w:pPr>
              <w:pStyle w:val="0"/>
              <w:jc w:val="center"/>
            </w:pPr>
            <w:r>
              <w:rPr>
                <w:sz w:val="20"/>
              </w:rPr>
              <w:t xml:space="preserve">С</w:t>
            </w:r>
          </w:p>
        </w:tc>
        <w:tc>
          <w:tcPr>
            <w:gridSpan w:val="2"/>
            <w:tcW w:w="1021" w:type="dxa"/>
            <w:vAlign w:val="center"/>
          </w:tcPr>
          <w:p>
            <w:pPr>
              <w:pStyle w:val="0"/>
              <w:jc w:val="center"/>
            </w:pPr>
            <w:r>
              <w:rPr>
                <w:sz w:val="20"/>
              </w:rPr>
              <w:t xml:space="preserve">Н/С</w:t>
            </w:r>
          </w:p>
        </w:tc>
        <w:tc>
          <w:tcPr>
            <w:gridSpan w:val="5"/>
            <w:tcW w:w="2254" w:type="dxa"/>
          </w:tcPr>
          <w:p>
            <w:pPr>
              <w:pStyle w:val="0"/>
            </w:pPr>
            <w:r>
              <w:rPr>
                <w:sz w:val="20"/>
              </w:rPr>
              <w:t xml:space="preserve">Промежность, прямая кишка</w:t>
            </w:r>
          </w:p>
        </w:tc>
        <w:tc>
          <w:tcPr>
            <w:gridSpan w:val="5"/>
            <w:tcW w:w="2166"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vAlign w:val="center"/>
          </w:tcPr>
          <w:p>
            <w:pPr>
              <w:pStyle w:val="0"/>
            </w:pPr>
            <w:r>
              <w:rPr>
                <w:sz w:val="20"/>
              </w:rPr>
            </w:r>
          </w:p>
        </w:tc>
      </w:tr>
      <w:tr>
        <w:tc>
          <w:tcPr>
            <w:gridSpan w:val="4"/>
            <w:tcW w:w="2709" w:type="dxa"/>
            <w:vAlign w:val="center"/>
          </w:tcPr>
          <w:p>
            <w:pPr>
              <w:pStyle w:val="0"/>
            </w:pPr>
            <w:r>
              <w:rPr>
                <w:sz w:val="20"/>
              </w:rPr>
              <w:t xml:space="preserve">Брюшной пресс, симптомы грыж</w:t>
            </w:r>
          </w:p>
        </w:tc>
        <w:tc>
          <w:tcPr>
            <w:gridSpan w:val="3"/>
            <w:tcW w:w="1510" w:type="dxa"/>
            <w:vAlign w:val="center"/>
          </w:tcPr>
          <w:p>
            <w:pPr>
              <w:pStyle w:val="0"/>
              <w:jc w:val="center"/>
            </w:pPr>
            <w:r>
              <w:rPr>
                <w:sz w:val="20"/>
              </w:rPr>
              <w:t xml:space="preserve">описание</w:t>
            </w:r>
          </w:p>
        </w:tc>
        <w:tc>
          <w:tcPr>
            <w:gridSpan w:val="3"/>
            <w:tcW w:w="1126" w:type="dxa"/>
            <w:vAlign w:val="center"/>
          </w:tcPr>
          <w:p>
            <w:pPr>
              <w:pStyle w:val="0"/>
              <w:jc w:val="center"/>
            </w:pPr>
            <w:r>
              <w:rPr>
                <w:sz w:val="20"/>
              </w:rPr>
              <w:t xml:space="preserve">С</w:t>
            </w:r>
          </w:p>
        </w:tc>
        <w:tc>
          <w:tcPr>
            <w:gridSpan w:val="2"/>
            <w:tcW w:w="1021" w:type="dxa"/>
            <w:vAlign w:val="center"/>
          </w:tcPr>
          <w:p>
            <w:pPr>
              <w:pStyle w:val="0"/>
              <w:jc w:val="center"/>
            </w:pPr>
            <w:r>
              <w:rPr>
                <w:sz w:val="20"/>
              </w:rPr>
              <w:t xml:space="preserve">Н/С</w:t>
            </w:r>
          </w:p>
        </w:tc>
        <w:tc>
          <w:tcPr>
            <w:gridSpan w:val="5"/>
            <w:tcW w:w="2254" w:type="dxa"/>
          </w:tcPr>
          <w:p>
            <w:pPr>
              <w:pStyle w:val="0"/>
            </w:pPr>
            <w:r>
              <w:rPr>
                <w:sz w:val="20"/>
              </w:rPr>
              <w:t xml:space="preserve">Периферические сосуды</w:t>
            </w:r>
          </w:p>
        </w:tc>
        <w:tc>
          <w:tcPr>
            <w:gridSpan w:val="5"/>
            <w:tcW w:w="2166"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vAlign w:val="center"/>
          </w:tcPr>
          <w:p>
            <w:pPr>
              <w:pStyle w:val="0"/>
            </w:pPr>
            <w:r>
              <w:rPr>
                <w:sz w:val="20"/>
              </w:rPr>
            </w:r>
          </w:p>
        </w:tc>
      </w:tr>
      <w:tr>
        <w:tc>
          <w:tcPr>
            <w:gridSpan w:val="4"/>
            <w:tcW w:w="2709" w:type="dxa"/>
            <w:vAlign w:val="center"/>
          </w:tcPr>
          <w:p>
            <w:pPr>
              <w:pStyle w:val="0"/>
            </w:pPr>
            <w:r>
              <w:rPr>
                <w:sz w:val="20"/>
              </w:rPr>
              <w:t xml:space="preserve">Органы брюшной полости</w:t>
            </w:r>
          </w:p>
        </w:tc>
        <w:tc>
          <w:tcPr>
            <w:gridSpan w:val="3"/>
            <w:tcW w:w="1510" w:type="dxa"/>
            <w:vAlign w:val="center"/>
          </w:tcPr>
          <w:p>
            <w:pPr>
              <w:pStyle w:val="0"/>
              <w:jc w:val="center"/>
            </w:pPr>
            <w:r>
              <w:rPr>
                <w:sz w:val="20"/>
              </w:rPr>
              <w:t xml:space="preserve">описание</w:t>
            </w:r>
          </w:p>
        </w:tc>
        <w:tc>
          <w:tcPr>
            <w:gridSpan w:val="3"/>
            <w:tcW w:w="1126" w:type="dxa"/>
            <w:vAlign w:val="center"/>
          </w:tcPr>
          <w:p>
            <w:pPr>
              <w:pStyle w:val="0"/>
              <w:jc w:val="center"/>
            </w:pPr>
            <w:r>
              <w:rPr>
                <w:sz w:val="20"/>
              </w:rPr>
              <w:t xml:space="preserve">С</w:t>
            </w:r>
          </w:p>
        </w:tc>
        <w:tc>
          <w:tcPr>
            <w:gridSpan w:val="2"/>
            <w:tcW w:w="1021" w:type="dxa"/>
            <w:vAlign w:val="center"/>
          </w:tcPr>
          <w:p>
            <w:pPr>
              <w:pStyle w:val="0"/>
              <w:jc w:val="center"/>
            </w:pPr>
            <w:r>
              <w:rPr>
                <w:sz w:val="20"/>
              </w:rPr>
              <w:t xml:space="preserve">Н/С</w:t>
            </w:r>
          </w:p>
        </w:tc>
        <w:tc>
          <w:tcPr>
            <w:gridSpan w:val="5"/>
            <w:tcW w:w="2254" w:type="dxa"/>
          </w:tcPr>
          <w:p>
            <w:pPr>
              <w:pStyle w:val="0"/>
            </w:pPr>
            <w:r>
              <w:rPr>
                <w:sz w:val="20"/>
              </w:rPr>
              <w:t xml:space="preserve">Оценка физического развития</w:t>
            </w:r>
          </w:p>
        </w:tc>
        <w:tc>
          <w:tcPr>
            <w:gridSpan w:val="5"/>
            <w:tcW w:w="2166" w:type="dxa"/>
            <w:vAlign w:val="center"/>
          </w:tcPr>
          <w:p>
            <w:pPr>
              <w:pStyle w:val="0"/>
              <w:jc w:val="center"/>
            </w:pPr>
            <w:r>
              <w:rPr>
                <w:sz w:val="20"/>
              </w:rPr>
              <w:t xml:space="preserve">описание</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vAlign w:val="center"/>
          </w:tcPr>
          <w:p>
            <w:pPr>
              <w:pStyle w:val="0"/>
            </w:pPr>
            <w:r>
              <w:rPr>
                <w:sz w:val="20"/>
              </w:rPr>
            </w:r>
          </w:p>
        </w:tc>
      </w:tr>
      <w:tr>
        <w:tc>
          <w:tcPr>
            <w:gridSpan w:val="4"/>
            <w:tcW w:w="2709" w:type="dxa"/>
            <w:tcBorders>
              <w:right w:val="nil"/>
            </w:tcBorders>
          </w:tcPr>
          <w:p>
            <w:pPr>
              <w:pStyle w:val="0"/>
            </w:pPr>
            <w:r>
              <w:rPr>
                <w:sz w:val="20"/>
              </w:rPr>
              <w:t xml:space="preserve">дополнительно:</w:t>
            </w:r>
          </w:p>
        </w:tc>
        <w:tc>
          <w:tcPr>
            <w:gridSpan w:val="18"/>
            <w:tcW w:w="8077" w:type="dxa"/>
            <w:tcBorders>
              <w:left w:val="nil"/>
            </w:tcBorders>
          </w:tcPr>
          <w:p>
            <w:pPr>
              <w:pStyle w:val="0"/>
              <w:jc w:val="center"/>
            </w:pPr>
            <w:r>
              <w:rPr>
                <w:sz w:val="20"/>
              </w:rPr>
              <w:t xml:space="preserve">описываются дополнительные сведения, рекомендации, указывается графа и статья соответствия/несоответствия (Н/С) требованиям по состоянию здоровья</w:t>
            </w:r>
          </w:p>
        </w:tc>
        <w:tc>
          <w:tcPr>
            <w:tcW w:w="567" w:type="dxa"/>
            <w:vAlign w:val="center"/>
            <w:vMerge w:val="restart"/>
          </w:tcPr>
          <w:p>
            <w:pPr>
              <w:pStyle w:val="0"/>
              <w:jc w:val="center"/>
            </w:pPr>
            <w:r>
              <w:rPr>
                <w:sz w:val="20"/>
              </w:rPr>
              <w:t xml:space="preserve">С</w:t>
            </w:r>
          </w:p>
        </w:tc>
        <w:tc>
          <w:tcPr>
            <w:tcW w:w="691" w:type="dxa"/>
            <w:vAlign w:val="center"/>
            <w:vMerge w:val="restart"/>
          </w:tcPr>
          <w:p>
            <w:pPr>
              <w:pStyle w:val="0"/>
              <w:jc w:val="center"/>
            </w:pPr>
            <w:r>
              <w:rPr>
                <w:sz w:val="20"/>
              </w:rPr>
              <w:t xml:space="preserve">Н/С</w:t>
            </w:r>
          </w:p>
        </w:tc>
        <w:tc>
          <w:tcPr>
            <w:tcW w:w="340" w:type="dxa"/>
            <w:vAlign w:val="center"/>
          </w:tcPr>
          <w:p>
            <w:pPr>
              <w:pStyle w:val="0"/>
            </w:pPr>
            <w:r>
              <w:rPr>
                <w:sz w:val="20"/>
              </w:rPr>
            </w:r>
          </w:p>
        </w:tc>
      </w:tr>
      <w:tr>
        <w:tc>
          <w:tcPr>
            <w:gridSpan w:val="4"/>
            <w:tcW w:w="2709" w:type="dxa"/>
            <w:vAlign w:val="center"/>
            <w:tcBorders>
              <w:bottom w:val="nil"/>
              <w:right w:val="nil"/>
            </w:tcBorders>
          </w:tcPr>
          <w:p>
            <w:pPr>
              <w:pStyle w:val="0"/>
            </w:pPr>
            <w:r>
              <w:rPr>
                <w:sz w:val="20"/>
              </w:rPr>
              <w:t xml:space="preserve">Диагноз:</w:t>
            </w:r>
          </w:p>
        </w:tc>
        <w:tc>
          <w:tcPr>
            <w:gridSpan w:val="18"/>
            <w:tcW w:w="8077" w:type="dxa"/>
            <w:vAlign w:val="center"/>
            <w:tcBorders>
              <w:left w:val="nil"/>
              <w:bottom w:val="nil"/>
            </w:tcBorders>
          </w:tcPr>
          <w:p>
            <w:pPr>
              <w:pStyle w:val="0"/>
            </w:pPr>
            <w:r>
              <w:rPr>
                <w:sz w:val="20"/>
              </w:rPr>
            </w:r>
          </w:p>
        </w:tc>
        <w:tc>
          <w:tcPr>
            <w:vMerge w:val="continue"/>
          </w:tcPr>
          <w:p/>
        </w:tc>
        <w:tc>
          <w:tcPr>
            <w:vMerge w:val="continue"/>
          </w:tcPr>
          <w:p/>
        </w:tc>
        <w:tc>
          <w:tcPr>
            <w:tcW w:w="340" w:type="dxa"/>
            <w:vMerge w:val="restart"/>
          </w:tcPr>
          <w:p>
            <w:pPr>
              <w:pStyle w:val="0"/>
            </w:pPr>
            <w:r>
              <w:rPr>
                <w:sz w:val="20"/>
              </w:rPr>
            </w:r>
          </w:p>
        </w:tc>
      </w:tr>
      <w:tr>
        <w:tc>
          <w:tcPr>
            <w:gridSpan w:val="4"/>
            <w:tcW w:w="2709" w:type="dxa"/>
            <w:tcBorders>
              <w:top w:val="nil"/>
              <w:right w:val="nil"/>
            </w:tcBorders>
          </w:tcPr>
          <w:p>
            <w:pPr>
              <w:pStyle w:val="0"/>
            </w:pPr>
            <w:r>
              <w:rPr>
                <w:sz w:val="20"/>
              </w:rPr>
            </w:r>
          </w:p>
        </w:tc>
        <w:tc>
          <w:tcPr>
            <w:gridSpan w:val="18"/>
            <w:tcW w:w="8077" w:type="dxa"/>
            <w:tcBorders>
              <w:top w:val="nil"/>
              <w:left w:val="nil"/>
            </w:tcBorders>
          </w:tcPr>
          <w:p>
            <w:pPr>
              <w:pStyle w:val="0"/>
              <w:jc w:val="center"/>
            </w:pPr>
            <w:r>
              <w:rPr>
                <w:sz w:val="20"/>
              </w:rPr>
              <w:t xml:space="preserve">указывается полный клинический диагноз</w:t>
            </w:r>
          </w:p>
        </w:tc>
        <w:tc>
          <w:tcPr>
            <w:vMerge w:val="continue"/>
          </w:tcPr>
          <w:p/>
        </w:tc>
        <w:tc>
          <w:tcPr>
            <w:vMerge w:val="continue"/>
          </w:tcPr>
          <w:p/>
        </w:tc>
        <w:tc>
          <w:tcPr>
            <w:vMerge w:val="continue"/>
          </w:tcPr>
          <w:p/>
        </w:tc>
      </w:tr>
      <w:tr>
        <w:tc>
          <w:tcPr>
            <w:gridSpan w:val="4"/>
            <w:tcW w:w="2709" w:type="dxa"/>
            <w:tcBorders>
              <w:bottom w:val="nil"/>
              <w:right w:val="nil"/>
            </w:tcBorders>
          </w:tcPr>
          <w:p>
            <w:pPr>
              <w:pStyle w:val="0"/>
            </w:pPr>
            <w:r>
              <w:rPr>
                <w:sz w:val="20"/>
              </w:rPr>
              <w:t xml:space="preserve">Код </w:t>
            </w:r>
            <w:hyperlink w:history="0" r:id="rId17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8"/>
            <w:tcW w:w="8077" w:type="dxa"/>
            <w:vAlign w:val="center"/>
            <w:tcBorders>
              <w:left w:val="nil"/>
              <w:bottom w:val="nil"/>
            </w:tcBorders>
          </w:tcPr>
          <w:p>
            <w:pPr>
              <w:pStyle w:val="0"/>
            </w:pPr>
            <w:r>
              <w:rPr>
                <w:sz w:val="20"/>
              </w:rPr>
            </w:r>
          </w:p>
        </w:tc>
        <w:tc>
          <w:tcPr>
            <w:gridSpan w:val="2"/>
            <w:tcW w:w="1258" w:type="dxa"/>
            <w:vMerge w:val="restart"/>
          </w:tcPr>
          <w:p>
            <w:pPr>
              <w:pStyle w:val="0"/>
              <w:jc w:val="center"/>
            </w:pPr>
            <w:r>
              <w:rPr>
                <w:sz w:val="20"/>
              </w:rPr>
              <w:t xml:space="preserve">Фамилия, инициалы, подпись, печать врача</w:t>
            </w:r>
          </w:p>
        </w:tc>
        <w:tc>
          <w:tcPr>
            <w:tcW w:w="340" w:type="dxa"/>
            <w:vMerge w:val="restart"/>
          </w:tcPr>
          <w:p>
            <w:pPr>
              <w:pStyle w:val="0"/>
            </w:pPr>
            <w:r>
              <w:rPr>
                <w:sz w:val="20"/>
              </w:rPr>
            </w:r>
          </w:p>
        </w:tc>
      </w:tr>
      <w:tr>
        <w:tc>
          <w:tcPr>
            <w:gridSpan w:val="4"/>
            <w:tcW w:w="2709" w:type="dxa"/>
            <w:tcBorders>
              <w:top w:val="nil"/>
              <w:right w:val="nil"/>
            </w:tcBorders>
          </w:tcPr>
          <w:p>
            <w:pPr>
              <w:pStyle w:val="0"/>
            </w:pPr>
            <w:r>
              <w:rPr>
                <w:sz w:val="20"/>
              </w:rPr>
            </w:r>
          </w:p>
        </w:tc>
        <w:tc>
          <w:tcPr>
            <w:gridSpan w:val="18"/>
            <w:tcW w:w="8077" w:type="dxa"/>
            <w:vAlign w:val="center"/>
            <w:tcBorders>
              <w:top w:val="nil"/>
              <w:left w:val="nil"/>
            </w:tcBorders>
          </w:tcPr>
          <w:p>
            <w:pPr>
              <w:pStyle w:val="0"/>
              <w:jc w:val="center"/>
            </w:pPr>
            <w:r>
              <w:rPr>
                <w:sz w:val="20"/>
              </w:rPr>
              <w:t xml:space="preserve">указываются коды всех выявленных заболеваний и состояний</w:t>
            </w:r>
          </w:p>
        </w:tc>
        <w:tc>
          <w:tcPr>
            <w:gridSpan w:val="2"/>
            <w:vMerge w:val="continue"/>
          </w:tcPr>
          <w:p/>
        </w:tc>
        <w:tc>
          <w:tcPr>
            <w:vMerge w:val="continue"/>
          </w:tcPr>
          <w:p/>
        </w:tc>
      </w:tr>
      <w:tr>
        <w:tblPrEx>
          <w:tblBorders>
            <w:insideV w:val="nil"/>
          </w:tblBorders>
        </w:tblPrEx>
        <w:tc>
          <w:tcPr>
            <w:gridSpan w:val="21"/>
            <w:tcW w:w="10414" w:type="dxa"/>
            <w:tcBorders>
              <w:left w:val="single" w:sz="4"/>
            </w:tcBorders>
          </w:tcPr>
          <w:p>
            <w:pPr>
              <w:pStyle w:val="0"/>
              <w:jc w:val="center"/>
            </w:pPr>
            <w:r>
              <w:rPr>
                <w:sz w:val="20"/>
              </w:rPr>
              <w:t xml:space="preserve">Данные терапевтического обследования</w:t>
            </w:r>
          </w:p>
        </w:tc>
        <w:tc>
          <w:tcPr>
            <w:gridSpan w:val="3"/>
            <w:tcW w:w="1630" w:type="dxa"/>
            <w:vAlign w:val="center"/>
            <w:tcBorders>
              <w:right w:val="single" w:sz="4"/>
            </w:tcBorders>
          </w:tcPr>
          <w:p>
            <w:pPr>
              <w:pStyle w:val="0"/>
              <w:jc w:val="center"/>
            </w:pPr>
            <w:r>
              <w:rPr>
                <w:sz w:val="20"/>
              </w:rPr>
              <w:t xml:space="preserve">Дата осмотра</w:t>
            </w:r>
          </w:p>
        </w:tc>
        <w:tc>
          <w:tcPr>
            <w:tcW w:w="340" w:type="dxa"/>
            <w:tcBorders>
              <w:left w:val="single" w:sz="4"/>
              <w:right w:val="single" w:sz="4"/>
            </w:tcBorders>
          </w:tcPr>
          <w:p>
            <w:pPr>
              <w:pStyle w:val="0"/>
            </w:pPr>
            <w:r>
              <w:rPr>
                <w:sz w:val="20"/>
              </w:rPr>
            </w:r>
          </w:p>
        </w:tc>
      </w:tr>
      <w:tr>
        <w:tblPrEx>
          <w:tblBorders>
            <w:insideV w:val="nil"/>
          </w:tblBorders>
        </w:tblPrEx>
        <w:tc>
          <w:tcPr>
            <w:gridSpan w:val="4"/>
            <w:tcW w:w="2709" w:type="dxa"/>
            <w:tcBorders>
              <w:left w:val="single" w:sz="4"/>
            </w:tcBorders>
          </w:tcPr>
          <w:p>
            <w:pPr>
              <w:pStyle w:val="0"/>
            </w:pPr>
            <w:r>
              <w:rPr>
                <w:sz w:val="20"/>
              </w:rPr>
              <w:t xml:space="preserve">Жалобы, анамнез:</w:t>
            </w:r>
          </w:p>
        </w:tc>
        <w:tc>
          <w:tcPr>
            <w:gridSpan w:val="20"/>
            <w:tcW w:w="9335" w:type="dxa"/>
            <w:tcBorders>
              <w:right w:val="single" w:sz="4"/>
            </w:tcBorders>
          </w:tcPr>
          <w:p>
            <w:pPr>
              <w:pStyle w:val="0"/>
            </w:pPr>
            <w:r>
              <w:rPr>
                <w:sz w:val="20"/>
              </w:rPr>
            </w:r>
          </w:p>
        </w:tc>
        <w:tc>
          <w:tcPr>
            <w:tcW w:w="340" w:type="dxa"/>
            <w:tcBorders>
              <w:left w:val="single" w:sz="4"/>
              <w:right w:val="single" w:sz="4"/>
            </w:tcBorders>
          </w:tcPr>
          <w:p>
            <w:pPr>
              <w:pStyle w:val="0"/>
            </w:pPr>
            <w:r>
              <w:rPr>
                <w:sz w:val="20"/>
              </w:rPr>
            </w:r>
          </w:p>
        </w:tc>
      </w:tr>
      <w:tr>
        <w:tc>
          <w:tcPr>
            <w:gridSpan w:val="4"/>
            <w:tcW w:w="2709" w:type="dxa"/>
            <w:vAlign w:val="center"/>
          </w:tcPr>
          <w:p>
            <w:pPr>
              <w:pStyle w:val="0"/>
            </w:pPr>
            <w:r>
              <w:rPr>
                <w:sz w:val="20"/>
              </w:rPr>
              <w:t xml:space="preserve">Кожные покровы</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7"/>
            <w:tcW w:w="2960" w:type="dxa"/>
          </w:tcPr>
          <w:p>
            <w:pPr>
              <w:pStyle w:val="0"/>
            </w:pPr>
            <w:r>
              <w:rPr>
                <w:sz w:val="20"/>
              </w:rPr>
              <w:t xml:space="preserve">Оценка общеклинических анализов крови, мочи</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tcPr>
          <w:p>
            <w:pPr>
              <w:pStyle w:val="0"/>
            </w:pPr>
            <w:r>
              <w:rPr>
                <w:sz w:val="20"/>
              </w:rPr>
            </w:r>
          </w:p>
        </w:tc>
      </w:tr>
      <w:tr>
        <w:tc>
          <w:tcPr>
            <w:gridSpan w:val="4"/>
            <w:tcW w:w="2709" w:type="dxa"/>
            <w:vAlign w:val="center"/>
          </w:tcPr>
          <w:p>
            <w:pPr>
              <w:pStyle w:val="0"/>
            </w:pPr>
            <w:r>
              <w:rPr>
                <w:sz w:val="20"/>
              </w:rPr>
              <w:t xml:space="preserve">Лимфатические узлы</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7"/>
            <w:tcW w:w="2960" w:type="dxa"/>
          </w:tcPr>
          <w:p>
            <w:pPr>
              <w:pStyle w:val="0"/>
            </w:pPr>
            <w:r>
              <w:rPr>
                <w:sz w:val="20"/>
              </w:rPr>
              <w:t xml:space="preserve">Оценка ЭКГ</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tcPr>
          <w:p>
            <w:pPr>
              <w:pStyle w:val="0"/>
            </w:pPr>
            <w:r>
              <w:rPr>
                <w:sz w:val="20"/>
              </w:rPr>
            </w:r>
          </w:p>
        </w:tc>
      </w:tr>
      <w:tr>
        <w:tc>
          <w:tcPr>
            <w:gridSpan w:val="4"/>
            <w:tcW w:w="2709" w:type="dxa"/>
            <w:vAlign w:val="center"/>
          </w:tcPr>
          <w:p>
            <w:pPr>
              <w:pStyle w:val="0"/>
            </w:pPr>
            <w:r>
              <w:rPr>
                <w:sz w:val="20"/>
              </w:rPr>
              <w:t xml:space="preserve">Щитовидная железа</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7"/>
            <w:tcW w:w="2960" w:type="dxa"/>
          </w:tcPr>
          <w:p>
            <w:pPr>
              <w:pStyle w:val="0"/>
            </w:pPr>
            <w:r>
              <w:rPr>
                <w:sz w:val="20"/>
              </w:rPr>
              <w:t xml:space="preserve">Оценка прочих методов исследования</w:t>
            </w:r>
          </w:p>
        </w:tc>
        <w:tc>
          <w:tcPr>
            <w:tcW w:w="567" w:type="dxa"/>
            <w:vAlign w:val="center"/>
          </w:tcPr>
          <w:p>
            <w:pPr>
              <w:pStyle w:val="0"/>
              <w:jc w:val="center"/>
            </w:pPr>
            <w:r>
              <w:rPr>
                <w:sz w:val="20"/>
              </w:rPr>
              <w:t xml:space="preserve">С</w:t>
            </w:r>
          </w:p>
        </w:tc>
        <w:tc>
          <w:tcPr>
            <w:tcW w:w="691" w:type="dxa"/>
            <w:vAlign w:val="center"/>
          </w:tcPr>
          <w:p>
            <w:pPr>
              <w:pStyle w:val="0"/>
              <w:jc w:val="center"/>
            </w:pPr>
            <w:r>
              <w:rPr>
                <w:sz w:val="20"/>
              </w:rPr>
              <w:t xml:space="preserve">Н/С</w:t>
            </w:r>
          </w:p>
        </w:tc>
        <w:tc>
          <w:tcPr>
            <w:tcW w:w="340" w:type="dxa"/>
          </w:tcPr>
          <w:p>
            <w:pPr>
              <w:pStyle w:val="0"/>
            </w:pPr>
            <w:r>
              <w:rPr>
                <w:sz w:val="20"/>
              </w:rPr>
            </w:r>
          </w:p>
        </w:tc>
      </w:tr>
      <w:tr>
        <w:tc>
          <w:tcPr>
            <w:gridSpan w:val="4"/>
            <w:tcW w:w="2709" w:type="dxa"/>
            <w:vAlign w:val="center"/>
          </w:tcPr>
          <w:p>
            <w:pPr>
              <w:pStyle w:val="0"/>
            </w:pPr>
            <w:r>
              <w:rPr>
                <w:sz w:val="20"/>
              </w:rPr>
              <w:t xml:space="preserve">Пищеварительная система</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7"/>
            <w:tcW w:w="2960" w:type="dxa"/>
          </w:tcPr>
          <w:p>
            <w:pPr>
              <w:pStyle w:val="0"/>
            </w:pPr>
            <w:r>
              <w:rPr>
                <w:sz w:val="20"/>
              </w:rPr>
              <w:t xml:space="preserve">Обсуждение принципов здорового образа жизни</w:t>
            </w:r>
          </w:p>
        </w:tc>
        <w:tc>
          <w:tcPr>
            <w:tcW w:w="567" w:type="dxa"/>
            <w:vAlign w:val="center"/>
          </w:tcPr>
          <w:p>
            <w:pPr>
              <w:pStyle w:val="0"/>
              <w:jc w:val="center"/>
            </w:pPr>
            <w:r>
              <w:rPr>
                <w:sz w:val="20"/>
              </w:rPr>
              <w:t xml:space="preserve">Да</w:t>
            </w:r>
          </w:p>
        </w:tc>
        <w:tc>
          <w:tcPr>
            <w:tcW w:w="691" w:type="dxa"/>
            <w:vAlign w:val="center"/>
          </w:tcPr>
          <w:p>
            <w:pPr>
              <w:pStyle w:val="0"/>
              <w:jc w:val="center"/>
            </w:pPr>
            <w:r>
              <w:rPr>
                <w:sz w:val="20"/>
              </w:rPr>
              <w:t xml:space="preserve">Нет</w:t>
            </w:r>
          </w:p>
        </w:tc>
        <w:tc>
          <w:tcPr>
            <w:tcW w:w="340" w:type="dxa"/>
          </w:tcPr>
          <w:p>
            <w:pPr>
              <w:pStyle w:val="0"/>
            </w:pPr>
            <w:r>
              <w:rPr>
                <w:sz w:val="20"/>
              </w:rPr>
            </w:r>
          </w:p>
        </w:tc>
      </w:tr>
      <w:tr>
        <w:tc>
          <w:tcPr>
            <w:gridSpan w:val="4"/>
            <w:tcW w:w="2709" w:type="dxa"/>
            <w:vAlign w:val="center"/>
          </w:tcPr>
          <w:p>
            <w:pPr>
              <w:pStyle w:val="0"/>
            </w:pPr>
            <w:r>
              <w:rPr>
                <w:sz w:val="20"/>
              </w:rPr>
              <w:t xml:space="preserve">Печень, селезенка</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7"/>
            <w:tcW w:w="2960" w:type="dxa"/>
          </w:tcPr>
          <w:p>
            <w:pPr>
              <w:pStyle w:val="0"/>
            </w:pPr>
            <w:r>
              <w:rPr>
                <w:sz w:val="20"/>
              </w:rPr>
              <w:t xml:space="preserve">Обсуждение вопросов психического здоровья</w:t>
            </w:r>
          </w:p>
        </w:tc>
        <w:tc>
          <w:tcPr>
            <w:tcW w:w="567" w:type="dxa"/>
            <w:vAlign w:val="center"/>
          </w:tcPr>
          <w:p>
            <w:pPr>
              <w:pStyle w:val="0"/>
              <w:jc w:val="center"/>
            </w:pPr>
            <w:r>
              <w:rPr>
                <w:sz w:val="20"/>
              </w:rPr>
              <w:t xml:space="preserve">Да</w:t>
            </w:r>
          </w:p>
        </w:tc>
        <w:tc>
          <w:tcPr>
            <w:tcW w:w="691" w:type="dxa"/>
            <w:vAlign w:val="center"/>
          </w:tcPr>
          <w:p>
            <w:pPr>
              <w:pStyle w:val="0"/>
              <w:jc w:val="center"/>
            </w:pPr>
            <w:r>
              <w:rPr>
                <w:sz w:val="20"/>
              </w:rPr>
              <w:t xml:space="preserve">Нет</w:t>
            </w:r>
          </w:p>
        </w:tc>
        <w:tc>
          <w:tcPr>
            <w:tcW w:w="340" w:type="dxa"/>
          </w:tcPr>
          <w:p>
            <w:pPr>
              <w:pStyle w:val="0"/>
            </w:pPr>
            <w:r>
              <w:rPr>
                <w:sz w:val="20"/>
              </w:rPr>
            </w:r>
          </w:p>
        </w:tc>
      </w:tr>
      <w:tr>
        <w:tc>
          <w:tcPr>
            <w:gridSpan w:val="4"/>
            <w:tcW w:w="2709" w:type="dxa"/>
            <w:vAlign w:val="center"/>
          </w:tcPr>
          <w:p>
            <w:pPr>
              <w:pStyle w:val="0"/>
            </w:pPr>
            <w:r>
              <w:rPr>
                <w:sz w:val="20"/>
              </w:rPr>
              <w:t xml:space="preserve">Почки, мочеиспускание</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8"/>
            <w:tcW w:w="3527" w:type="dxa"/>
            <w:vMerge w:val="restart"/>
          </w:tcPr>
          <w:p>
            <w:pPr>
              <w:pStyle w:val="0"/>
            </w:pPr>
            <w:r>
              <w:rPr>
                <w:sz w:val="20"/>
              </w:rPr>
              <w:t xml:space="preserve">Обсуждение вопросов здоровья, приема медикаментов, профессиональных обязанностей и безопасности полетов</w:t>
            </w:r>
          </w:p>
        </w:tc>
        <w:tc>
          <w:tcPr>
            <w:tcW w:w="691" w:type="dxa"/>
            <w:vAlign w:val="center"/>
          </w:tcPr>
          <w:p>
            <w:pPr>
              <w:pStyle w:val="0"/>
              <w:jc w:val="center"/>
            </w:pPr>
            <w:r>
              <w:rPr>
                <w:sz w:val="20"/>
              </w:rPr>
              <w:t xml:space="preserve">Да</w:t>
            </w:r>
          </w:p>
        </w:tc>
        <w:tc>
          <w:tcPr>
            <w:tcW w:w="340" w:type="dxa"/>
          </w:tcPr>
          <w:p>
            <w:pPr>
              <w:pStyle w:val="0"/>
            </w:pPr>
            <w:r>
              <w:rPr>
                <w:sz w:val="20"/>
              </w:rPr>
            </w:r>
          </w:p>
        </w:tc>
      </w:tr>
      <w:tr>
        <w:tc>
          <w:tcPr>
            <w:gridSpan w:val="4"/>
            <w:tcW w:w="2709" w:type="dxa"/>
            <w:vAlign w:val="center"/>
            <w:vMerge w:val="restart"/>
          </w:tcPr>
          <w:p>
            <w:pPr>
              <w:pStyle w:val="0"/>
            </w:pPr>
            <w:r>
              <w:rPr>
                <w:sz w:val="20"/>
              </w:rPr>
              <w:t xml:space="preserve">Сердечно-сосудистая система</w:t>
            </w:r>
          </w:p>
        </w:tc>
        <w:tc>
          <w:tcPr>
            <w:gridSpan w:val="8"/>
            <w:tcW w:w="3657" w:type="dxa"/>
            <w:vAlign w:val="center"/>
          </w:tcPr>
          <w:p>
            <w:pPr>
              <w:pStyle w:val="0"/>
              <w:jc w:val="center"/>
            </w:pPr>
            <w:r>
              <w:rPr>
                <w:sz w:val="20"/>
              </w:rPr>
              <w:t xml:space="preserve">артериальное давление, частота пульса и сердечный ритм</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8"/>
            <w:vMerge w:val="continue"/>
          </w:tcPr>
          <w:p/>
        </w:tc>
        <w:tc>
          <w:tcPr>
            <w:tcW w:w="691" w:type="dxa"/>
            <w:vAlign w:val="center"/>
          </w:tcPr>
          <w:p>
            <w:pPr>
              <w:pStyle w:val="0"/>
              <w:jc w:val="center"/>
            </w:pPr>
            <w:r>
              <w:rPr>
                <w:sz w:val="20"/>
              </w:rPr>
              <w:t xml:space="preserve">Нет</w:t>
            </w:r>
          </w:p>
        </w:tc>
        <w:tc>
          <w:tcPr>
            <w:tcW w:w="340" w:type="dxa"/>
          </w:tcPr>
          <w:p>
            <w:pPr>
              <w:pStyle w:val="0"/>
            </w:pPr>
            <w:r>
              <w:rPr>
                <w:sz w:val="20"/>
              </w:rPr>
            </w:r>
          </w:p>
        </w:tc>
      </w:tr>
      <w:tr>
        <w:tc>
          <w:tcPr>
            <w:gridSpan w:val="4"/>
            <w:vMerge w:val="continue"/>
          </w:tcPr>
          <w:p/>
        </w:tc>
        <w:tc>
          <w:tcPr>
            <w:gridSpan w:val="8"/>
            <w:tcW w:w="3657" w:type="dxa"/>
            <w:vAlign w:val="center"/>
          </w:tcPr>
          <w:p>
            <w:pPr>
              <w:pStyle w:val="0"/>
              <w:jc w:val="center"/>
            </w:pPr>
            <w:r>
              <w:rPr>
                <w:sz w:val="20"/>
              </w:rPr>
              <w:t xml:space="preserve">Функциональное 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8"/>
            <w:tcW w:w="3527" w:type="dxa"/>
            <w:vMerge w:val="restart"/>
          </w:tcPr>
          <w:p>
            <w:pPr>
              <w:pStyle w:val="0"/>
            </w:pPr>
            <w:r>
              <w:rPr>
                <w:sz w:val="20"/>
              </w:rPr>
              <w:t xml:space="preserve">Оценка эффективности профилактических мероприятий</w:t>
            </w:r>
          </w:p>
        </w:tc>
        <w:tc>
          <w:tcPr>
            <w:tcW w:w="691" w:type="dxa"/>
            <w:vAlign w:val="center"/>
          </w:tcPr>
          <w:p>
            <w:pPr>
              <w:pStyle w:val="0"/>
              <w:jc w:val="center"/>
            </w:pPr>
            <w:r>
              <w:rPr>
                <w:sz w:val="20"/>
              </w:rPr>
              <w:t xml:space="preserve">Да</w:t>
            </w:r>
          </w:p>
        </w:tc>
        <w:tc>
          <w:tcPr>
            <w:tcW w:w="340" w:type="dxa"/>
          </w:tcPr>
          <w:p>
            <w:pPr>
              <w:pStyle w:val="0"/>
            </w:pPr>
            <w:r>
              <w:rPr>
                <w:sz w:val="20"/>
              </w:rPr>
            </w:r>
          </w:p>
        </w:tc>
      </w:tr>
      <w:tr>
        <w:tc>
          <w:tcPr>
            <w:gridSpan w:val="4"/>
            <w:tcW w:w="2709" w:type="dxa"/>
            <w:vAlign w:val="center"/>
          </w:tcPr>
          <w:p>
            <w:pPr>
              <w:pStyle w:val="0"/>
            </w:pPr>
            <w:r>
              <w:rPr>
                <w:sz w:val="20"/>
              </w:rPr>
              <w:t xml:space="preserve">Органы дыхания</w:t>
            </w:r>
          </w:p>
        </w:tc>
        <w:tc>
          <w:tcPr>
            <w:gridSpan w:val="8"/>
            <w:tcW w:w="3657" w:type="dxa"/>
            <w:vAlign w:val="center"/>
          </w:tcPr>
          <w:p>
            <w:pPr>
              <w:pStyle w:val="0"/>
              <w:jc w:val="center"/>
            </w:pPr>
            <w:r>
              <w:rPr>
                <w:sz w:val="20"/>
              </w:rPr>
              <w:t xml:space="preserve">описание</w:t>
            </w:r>
          </w:p>
        </w:tc>
        <w:tc>
          <w:tcPr>
            <w:tcW w:w="607" w:type="dxa"/>
            <w:vAlign w:val="center"/>
          </w:tcPr>
          <w:p>
            <w:pPr>
              <w:pStyle w:val="0"/>
              <w:jc w:val="center"/>
            </w:pPr>
            <w:r>
              <w:rPr>
                <w:sz w:val="20"/>
              </w:rPr>
              <w:t xml:space="preserve">С</w:t>
            </w:r>
          </w:p>
        </w:tc>
        <w:tc>
          <w:tcPr>
            <w:gridSpan w:val="2"/>
            <w:tcW w:w="853" w:type="dxa"/>
            <w:vAlign w:val="center"/>
          </w:tcPr>
          <w:p>
            <w:pPr>
              <w:pStyle w:val="0"/>
              <w:jc w:val="center"/>
            </w:pPr>
            <w:r>
              <w:rPr>
                <w:sz w:val="20"/>
              </w:rPr>
              <w:t xml:space="preserve">Н/С</w:t>
            </w:r>
          </w:p>
        </w:tc>
        <w:tc>
          <w:tcPr>
            <w:gridSpan w:val="8"/>
            <w:vMerge w:val="continue"/>
          </w:tcPr>
          <w:p/>
        </w:tc>
        <w:tc>
          <w:tcPr>
            <w:tcW w:w="691" w:type="dxa"/>
            <w:vAlign w:val="center"/>
          </w:tcPr>
          <w:p>
            <w:pPr>
              <w:pStyle w:val="0"/>
              <w:jc w:val="center"/>
            </w:pPr>
            <w:r>
              <w:rPr>
                <w:sz w:val="20"/>
              </w:rPr>
              <w:t xml:space="preserve">Нет</w:t>
            </w:r>
          </w:p>
        </w:tc>
        <w:tc>
          <w:tcPr>
            <w:tcW w:w="340" w:type="dxa"/>
          </w:tcPr>
          <w:p>
            <w:pPr>
              <w:pStyle w:val="0"/>
            </w:pPr>
            <w:r>
              <w:rPr>
                <w:sz w:val="20"/>
              </w:rPr>
            </w:r>
          </w:p>
        </w:tc>
      </w:tr>
      <w:tr>
        <w:tc>
          <w:tcPr>
            <w:gridSpan w:val="4"/>
            <w:tcW w:w="2709" w:type="dxa"/>
          </w:tcPr>
          <w:p>
            <w:pPr>
              <w:pStyle w:val="0"/>
            </w:pPr>
            <w:r>
              <w:rPr>
                <w:sz w:val="20"/>
              </w:rPr>
              <w:t xml:space="preserve">дополнительно:</w:t>
            </w:r>
          </w:p>
        </w:tc>
        <w:tc>
          <w:tcPr>
            <w:gridSpan w:val="18"/>
            <w:tcW w:w="8077" w:type="dxa"/>
            <w:vAlign w:val="center"/>
          </w:tcPr>
          <w:p>
            <w:pPr>
              <w:pStyle w:val="0"/>
              <w:jc w:val="center"/>
            </w:pPr>
            <w:r>
              <w:rPr>
                <w:sz w:val="20"/>
              </w:rPr>
              <w:t xml:space="preserve">описываются дополнительные сведения, рекомендации, указывается графа и статья соответствия/несоответствия (Н/С) требованиям по состоянию здоровья</w:t>
            </w:r>
          </w:p>
        </w:tc>
        <w:tc>
          <w:tcPr>
            <w:tcW w:w="567" w:type="dxa"/>
            <w:vAlign w:val="center"/>
            <w:vMerge w:val="restart"/>
          </w:tcPr>
          <w:p>
            <w:pPr>
              <w:pStyle w:val="0"/>
              <w:jc w:val="center"/>
            </w:pPr>
            <w:r>
              <w:rPr>
                <w:sz w:val="20"/>
              </w:rPr>
              <w:t xml:space="preserve">С</w:t>
            </w:r>
          </w:p>
        </w:tc>
        <w:tc>
          <w:tcPr>
            <w:tcW w:w="691" w:type="dxa"/>
            <w:vAlign w:val="center"/>
            <w:vMerge w:val="restart"/>
          </w:tcPr>
          <w:p>
            <w:pPr>
              <w:pStyle w:val="0"/>
              <w:jc w:val="center"/>
            </w:pPr>
            <w:r>
              <w:rPr>
                <w:sz w:val="20"/>
              </w:rPr>
              <w:t xml:space="preserve">Н/С</w:t>
            </w:r>
          </w:p>
        </w:tc>
        <w:tc>
          <w:tcPr>
            <w:tcW w:w="340" w:type="dxa"/>
          </w:tcPr>
          <w:p>
            <w:pPr>
              <w:pStyle w:val="0"/>
            </w:pPr>
            <w:r>
              <w:rPr>
                <w:sz w:val="20"/>
              </w:rPr>
            </w:r>
          </w:p>
        </w:tc>
      </w:tr>
      <w:tr>
        <w:tc>
          <w:tcPr>
            <w:gridSpan w:val="4"/>
            <w:tcW w:w="2709" w:type="dxa"/>
            <w:tcBorders>
              <w:bottom w:val="nil"/>
            </w:tcBorders>
          </w:tcPr>
          <w:p>
            <w:pPr>
              <w:pStyle w:val="0"/>
            </w:pPr>
            <w:r>
              <w:rPr>
                <w:sz w:val="20"/>
              </w:rPr>
              <w:t xml:space="preserve">Диагноз:</w:t>
            </w:r>
          </w:p>
        </w:tc>
        <w:tc>
          <w:tcPr>
            <w:gridSpan w:val="18"/>
            <w:tcW w:w="8077" w:type="dxa"/>
            <w:vAlign w:val="center"/>
            <w:tcBorders>
              <w:bottom w:val="nil"/>
            </w:tcBorders>
          </w:tcPr>
          <w:p>
            <w:pPr>
              <w:pStyle w:val="0"/>
            </w:pPr>
            <w:r>
              <w:rPr>
                <w:sz w:val="20"/>
              </w:rPr>
            </w:r>
          </w:p>
        </w:tc>
        <w:tc>
          <w:tcPr>
            <w:vMerge w:val="continue"/>
          </w:tcPr>
          <w:p/>
        </w:tc>
        <w:tc>
          <w:tcPr>
            <w:vMerge w:val="continue"/>
          </w:tcPr>
          <w:p/>
        </w:tc>
        <w:tc>
          <w:tcPr>
            <w:tcW w:w="340" w:type="dxa"/>
            <w:vMerge w:val="restart"/>
          </w:tcPr>
          <w:p>
            <w:pPr>
              <w:pStyle w:val="0"/>
            </w:pPr>
            <w:r>
              <w:rPr>
                <w:sz w:val="20"/>
              </w:rPr>
            </w:r>
          </w:p>
        </w:tc>
      </w:tr>
      <w:tr>
        <w:tc>
          <w:tcPr>
            <w:gridSpan w:val="4"/>
            <w:tcW w:w="2709" w:type="dxa"/>
            <w:tcBorders>
              <w:top w:val="nil"/>
            </w:tcBorders>
          </w:tcPr>
          <w:p>
            <w:pPr>
              <w:pStyle w:val="0"/>
            </w:pPr>
            <w:r>
              <w:rPr>
                <w:sz w:val="20"/>
              </w:rPr>
            </w:r>
          </w:p>
        </w:tc>
        <w:tc>
          <w:tcPr>
            <w:gridSpan w:val="18"/>
            <w:tcW w:w="8077" w:type="dxa"/>
            <w:tcBorders>
              <w:top w:val="nil"/>
            </w:tcBorders>
          </w:tcPr>
          <w:p>
            <w:pPr>
              <w:pStyle w:val="0"/>
              <w:jc w:val="center"/>
            </w:pPr>
            <w:r>
              <w:rPr>
                <w:sz w:val="20"/>
              </w:rPr>
              <w:t xml:space="preserve">указывается полный клинический диагноз</w:t>
            </w:r>
          </w:p>
        </w:tc>
        <w:tc>
          <w:tcPr>
            <w:vMerge w:val="continue"/>
          </w:tcPr>
          <w:p/>
        </w:tc>
        <w:tc>
          <w:tcPr>
            <w:vMerge w:val="continue"/>
          </w:tcPr>
          <w:p/>
        </w:tc>
        <w:tc>
          <w:tcPr>
            <w:vMerge w:val="continue"/>
          </w:tcPr>
          <w:p/>
        </w:tc>
      </w:tr>
      <w:tr>
        <w:tc>
          <w:tcPr>
            <w:gridSpan w:val="4"/>
            <w:tcW w:w="2709" w:type="dxa"/>
          </w:tcPr>
          <w:p>
            <w:pPr>
              <w:pStyle w:val="0"/>
            </w:pPr>
            <w:r>
              <w:rPr>
                <w:sz w:val="20"/>
              </w:rPr>
              <w:t xml:space="preserve">Код </w:t>
            </w:r>
            <w:hyperlink w:history="0" r:id="rId17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w:t>
            </w:r>
          </w:p>
        </w:tc>
        <w:tc>
          <w:tcPr>
            <w:gridSpan w:val="18"/>
            <w:tcW w:w="8077" w:type="dxa"/>
            <w:vAlign w:val="center"/>
          </w:tcPr>
          <w:p>
            <w:pPr>
              <w:pStyle w:val="0"/>
              <w:jc w:val="center"/>
            </w:pPr>
            <w:r>
              <w:rPr>
                <w:sz w:val="20"/>
              </w:rPr>
              <w:t xml:space="preserve">указываются коды всех выявленных заболеваний и состояний</w:t>
            </w:r>
          </w:p>
        </w:tc>
        <w:tc>
          <w:tcPr>
            <w:gridSpan w:val="2"/>
            <w:tcW w:w="1258" w:type="dxa"/>
            <w:vAlign w:val="center"/>
          </w:tcPr>
          <w:p>
            <w:pPr>
              <w:pStyle w:val="0"/>
              <w:jc w:val="center"/>
            </w:pPr>
            <w:r>
              <w:rPr>
                <w:sz w:val="20"/>
              </w:rPr>
              <w:t xml:space="preserve">Фамилия, инициалы, подпись, печать врача</w:t>
            </w:r>
          </w:p>
        </w:tc>
        <w:tc>
          <w:tcPr>
            <w:tcW w:w="340" w:type="dxa"/>
          </w:tcPr>
          <w:p>
            <w:pPr>
              <w:pStyle w:val="0"/>
            </w:pPr>
            <w:r>
              <w:rPr>
                <w:sz w:val="20"/>
              </w:rPr>
            </w:r>
          </w:p>
        </w:tc>
      </w:tr>
      <w:tr>
        <w:tc>
          <w:tcPr>
            <w:gridSpan w:val="24"/>
            <w:tcW w:w="12044" w:type="dxa"/>
          </w:tcPr>
          <w:p>
            <w:pPr>
              <w:pStyle w:val="0"/>
              <w:jc w:val="center"/>
            </w:pPr>
            <w:r>
              <w:rPr>
                <w:sz w:val="20"/>
              </w:rPr>
              <w:t xml:space="preserve">Назначение дополнительных обследований и их обоснование (для всех врачей-специалистов ВЛЭК/ЦВЛЭК)</w:t>
            </w:r>
          </w:p>
        </w:tc>
        <w:tc>
          <w:tcPr>
            <w:tcW w:w="340" w:type="dxa"/>
          </w:tcPr>
          <w:p>
            <w:pPr>
              <w:pStyle w:val="0"/>
            </w:pPr>
            <w:r>
              <w:rPr>
                <w:sz w:val="20"/>
              </w:rPr>
            </w:r>
          </w:p>
        </w:tc>
      </w:tr>
      <w:tr>
        <w:tc>
          <w:tcPr>
            <w:gridSpan w:val="24"/>
            <w:tcW w:w="12044" w:type="dxa"/>
          </w:tcPr>
          <w:p>
            <w:pPr>
              <w:pStyle w:val="0"/>
            </w:pPr>
            <w:r>
              <w:rPr>
                <w:sz w:val="20"/>
              </w:rPr>
            </w:r>
          </w:p>
        </w:tc>
        <w:tc>
          <w:tcPr>
            <w:tcW w:w="340" w:type="dxa"/>
          </w:tcPr>
          <w:p>
            <w:pPr>
              <w:pStyle w:val="0"/>
            </w:pPr>
            <w:r>
              <w:rPr>
                <w:sz w:val="20"/>
              </w:rPr>
            </w:r>
          </w:p>
        </w:tc>
      </w:tr>
      <w:tr>
        <w:tc>
          <w:tcPr>
            <w:gridSpan w:val="24"/>
            <w:tcW w:w="12044" w:type="dxa"/>
          </w:tcPr>
          <w:p>
            <w:pPr>
              <w:pStyle w:val="0"/>
              <w:jc w:val="center"/>
            </w:pPr>
            <w:r>
              <w:rPr>
                <w:sz w:val="20"/>
              </w:rPr>
              <w:t xml:space="preserve">ЗАКЛЮЧЕНИЕ:</w:t>
            </w:r>
          </w:p>
        </w:tc>
        <w:tc>
          <w:tcPr>
            <w:tcW w:w="340" w:type="dxa"/>
          </w:tcPr>
          <w:p>
            <w:pPr>
              <w:pStyle w:val="0"/>
            </w:pPr>
            <w:r>
              <w:rPr>
                <w:sz w:val="20"/>
              </w:rPr>
            </w:r>
          </w:p>
        </w:tc>
      </w:tr>
      <w:tr>
        <w:tblPrEx>
          <w:tblBorders>
            <w:insideV w:val="nil"/>
          </w:tblBorders>
        </w:tblPrEx>
        <w:tc>
          <w:tcPr>
            <w:gridSpan w:val="4"/>
            <w:tcW w:w="2709" w:type="dxa"/>
            <w:tcBorders>
              <w:left w:val="single" w:sz="4"/>
              <w:bottom w:val="nil"/>
            </w:tcBorders>
          </w:tcPr>
          <w:p>
            <w:pPr>
              <w:pStyle w:val="0"/>
            </w:pPr>
            <w:r>
              <w:rPr>
                <w:sz w:val="20"/>
              </w:rPr>
              <w:t xml:space="preserve">Диагноз:</w:t>
            </w:r>
          </w:p>
        </w:tc>
        <w:tc>
          <w:tcPr>
            <w:gridSpan w:val="20"/>
            <w:tcW w:w="9335" w:type="dxa"/>
            <w:tcBorders>
              <w:bottom w:val="nil"/>
              <w:right w:val="single" w:sz="4"/>
            </w:tcBorders>
          </w:tcPr>
          <w:p>
            <w:pPr>
              <w:pStyle w:val="0"/>
            </w:pPr>
            <w:r>
              <w:rPr>
                <w:sz w:val="20"/>
              </w:rPr>
            </w:r>
          </w:p>
        </w:tc>
        <w:tc>
          <w:tcPr>
            <w:tcW w:w="340" w:type="dxa"/>
            <w:tcBorders>
              <w:left w:val="single" w:sz="4"/>
              <w:right w:val="single" w:sz="4"/>
            </w:tcBorders>
          </w:tcPr>
          <w:p>
            <w:pPr>
              <w:pStyle w:val="0"/>
            </w:pPr>
            <w:r>
              <w:rPr>
                <w:sz w:val="20"/>
              </w:rPr>
            </w:r>
          </w:p>
        </w:tc>
      </w:tr>
      <w:tr>
        <w:tblPrEx>
          <w:tblBorders>
            <w:insideV w:val="nil"/>
          </w:tblBorders>
        </w:tblPrEx>
        <w:tc>
          <w:tcPr>
            <w:gridSpan w:val="4"/>
            <w:tcW w:w="2709" w:type="dxa"/>
            <w:tcBorders>
              <w:top w:val="nil"/>
              <w:left w:val="single" w:sz="4"/>
            </w:tcBorders>
          </w:tcPr>
          <w:p>
            <w:pPr>
              <w:pStyle w:val="0"/>
            </w:pPr>
            <w:r>
              <w:rPr>
                <w:sz w:val="20"/>
              </w:rPr>
            </w:r>
          </w:p>
        </w:tc>
        <w:tc>
          <w:tcPr>
            <w:gridSpan w:val="20"/>
            <w:tcW w:w="9335" w:type="dxa"/>
            <w:tcBorders>
              <w:top w:val="nil"/>
              <w:right w:val="single" w:sz="4"/>
            </w:tcBorders>
          </w:tcPr>
          <w:p>
            <w:pPr>
              <w:pStyle w:val="0"/>
              <w:jc w:val="center"/>
            </w:pPr>
            <w:r>
              <w:rPr>
                <w:sz w:val="20"/>
              </w:rPr>
              <w:t xml:space="preserve">Указывается полный клинический диагноз.</w:t>
            </w:r>
          </w:p>
        </w:tc>
        <w:tc>
          <w:tcPr>
            <w:tcW w:w="340" w:type="dxa"/>
            <w:tcBorders>
              <w:left w:val="single" w:sz="4"/>
              <w:right w:val="single" w:sz="4"/>
            </w:tcBorders>
          </w:tcPr>
          <w:p>
            <w:pPr>
              <w:pStyle w:val="0"/>
            </w:pPr>
            <w:r>
              <w:rPr>
                <w:sz w:val="20"/>
              </w:rPr>
            </w:r>
          </w:p>
        </w:tc>
      </w:tr>
      <w:tr>
        <w:tblPrEx>
          <w:tblBorders>
            <w:insideV w:val="nil"/>
          </w:tblBorders>
        </w:tblPrEx>
        <w:tc>
          <w:tcPr>
            <w:gridSpan w:val="4"/>
            <w:tcW w:w="2709" w:type="dxa"/>
            <w:tcBorders>
              <w:left w:val="single" w:sz="4"/>
              <w:bottom w:val="nil"/>
            </w:tcBorders>
          </w:tcPr>
          <w:p>
            <w:pPr>
              <w:pStyle w:val="0"/>
            </w:pPr>
            <w:r>
              <w:rPr>
                <w:sz w:val="20"/>
              </w:rPr>
              <w:t xml:space="preserve">Заключение:</w:t>
            </w:r>
          </w:p>
        </w:tc>
        <w:tc>
          <w:tcPr>
            <w:gridSpan w:val="20"/>
            <w:tcW w:w="9335" w:type="dxa"/>
            <w:tcBorders>
              <w:bottom w:val="nil"/>
              <w:right w:val="single" w:sz="4"/>
            </w:tcBorders>
          </w:tcPr>
          <w:p>
            <w:pPr>
              <w:pStyle w:val="0"/>
            </w:pPr>
            <w:r>
              <w:rPr>
                <w:sz w:val="20"/>
              </w:rPr>
            </w:r>
          </w:p>
        </w:tc>
        <w:tc>
          <w:tcPr>
            <w:tcW w:w="340" w:type="dxa"/>
            <w:tcBorders>
              <w:left w:val="single" w:sz="4"/>
              <w:right w:val="single" w:sz="4"/>
            </w:tcBorders>
          </w:tcPr>
          <w:p>
            <w:pPr>
              <w:pStyle w:val="0"/>
            </w:pPr>
            <w:r>
              <w:rPr>
                <w:sz w:val="20"/>
              </w:rPr>
            </w:r>
          </w:p>
        </w:tc>
      </w:tr>
      <w:tr>
        <w:tc>
          <w:tcPr>
            <w:gridSpan w:val="24"/>
            <w:tcW w:w="12044" w:type="dxa"/>
            <w:vAlign w:val="center"/>
            <w:tcBorders>
              <w:top w:val="nil"/>
            </w:tcBorders>
          </w:tcPr>
          <w:p>
            <w:pPr>
              <w:pStyle w:val="0"/>
              <w:jc w:val="center"/>
            </w:pPr>
            <w:r>
              <w:rPr>
                <w:sz w:val="20"/>
              </w:rPr>
              <w:t xml:space="preserve">Выносится заключение о годности/негодности к исполнению обязанностей и осуществлению прав, предоставляемых свидетельством и квалификационными отметками с указанием основания (документ, графа, статья)</w:t>
            </w:r>
          </w:p>
        </w:tc>
        <w:tc>
          <w:tcPr>
            <w:tcW w:w="340" w:type="dxa"/>
          </w:tcPr>
          <w:p>
            <w:pPr>
              <w:pStyle w:val="0"/>
            </w:pPr>
            <w:r>
              <w:rPr>
                <w:sz w:val="20"/>
              </w:rPr>
            </w:r>
          </w:p>
        </w:tc>
      </w:tr>
      <w:tr>
        <w:tblPrEx>
          <w:tblBorders>
            <w:insideV w:val="nil"/>
          </w:tblBorders>
        </w:tblPrEx>
        <w:tc>
          <w:tcPr>
            <w:gridSpan w:val="4"/>
            <w:tcW w:w="2709" w:type="dxa"/>
            <w:tcBorders>
              <w:left w:val="single" w:sz="4"/>
              <w:bottom w:val="nil"/>
            </w:tcBorders>
          </w:tcPr>
          <w:p>
            <w:pPr>
              <w:pStyle w:val="0"/>
            </w:pPr>
            <w:r>
              <w:rPr>
                <w:sz w:val="20"/>
              </w:rPr>
              <w:t xml:space="preserve">Ограничения и особые отметки:</w:t>
            </w:r>
          </w:p>
        </w:tc>
        <w:tc>
          <w:tcPr>
            <w:gridSpan w:val="20"/>
            <w:tcW w:w="9335" w:type="dxa"/>
            <w:tcBorders>
              <w:bottom w:val="nil"/>
              <w:right w:val="single" w:sz="4"/>
            </w:tcBorders>
          </w:tcPr>
          <w:p>
            <w:pPr>
              <w:pStyle w:val="0"/>
            </w:pPr>
            <w:r>
              <w:rPr>
                <w:sz w:val="20"/>
              </w:rPr>
            </w:r>
          </w:p>
        </w:tc>
        <w:tc>
          <w:tcPr>
            <w:tcW w:w="340" w:type="dxa"/>
            <w:tcBorders>
              <w:left w:val="single" w:sz="4"/>
              <w:right w:val="single" w:sz="4"/>
            </w:tcBorders>
          </w:tcPr>
          <w:p>
            <w:pPr>
              <w:pStyle w:val="0"/>
            </w:pPr>
            <w:r>
              <w:rPr>
                <w:sz w:val="20"/>
              </w:rPr>
            </w:r>
          </w:p>
        </w:tc>
      </w:tr>
      <w:tr>
        <w:tc>
          <w:tcPr>
            <w:gridSpan w:val="24"/>
            <w:tcW w:w="12044" w:type="dxa"/>
            <w:vAlign w:val="center"/>
            <w:tcBorders>
              <w:top w:val="nil"/>
            </w:tcBorders>
          </w:tcPr>
          <w:p>
            <w:pPr>
              <w:pStyle w:val="0"/>
              <w:jc w:val="center"/>
            </w:pPr>
            <w:r>
              <w:rPr>
                <w:sz w:val="20"/>
              </w:rPr>
              <w:t xml:space="preserve">Ограниченная годность при исполнении обязанностей и осуществлении прав, предоставляемых свидетельством и квалификационными отметками, в том числе и полеты в очках. Сведения из раздела переносятся в медицинское заключение.</w:t>
            </w:r>
          </w:p>
        </w:tc>
        <w:tc>
          <w:tcPr>
            <w:tcW w:w="340" w:type="dxa"/>
          </w:tcPr>
          <w:p>
            <w:pPr>
              <w:pStyle w:val="0"/>
            </w:pPr>
            <w:r>
              <w:rPr>
                <w:sz w:val="20"/>
              </w:rPr>
            </w:r>
          </w:p>
        </w:tc>
      </w:tr>
      <w:tr>
        <w:tblPrEx>
          <w:tblBorders>
            <w:insideV w:val="nil"/>
          </w:tblBorders>
        </w:tblPrEx>
        <w:tc>
          <w:tcPr>
            <w:gridSpan w:val="4"/>
            <w:tcW w:w="2709" w:type="dxa"/>
            <w:tcBorders>
              <w:left w:val="single" w:sz="4"/>
              <w:bottom w:val="nil"/>
            </w:tcBorders>
          </w:tcPr>
          <w:p>
            <w:pPr>
              <w:pStyle w:val="0"/>
            </w:pPr>
            <w:r>
              <w:rPr>
                <w:sz w:val="20"/>
              </w:rPr>
              <w:t xml:space="preserve">Рекомендации:</w:t>
            </w:r>
          </w:p>
        </w:tc>
        <w:tc>
          <w:tcPr>
            <w:gridSpan w:val="20"/>
            <w:tcW w:w="9335" w:type="dxa"/>
            <w:tcBorders>
              <w:bottom w:val="nil"/>
              <w:right w:val="single" w:sz="4"/>
            </w:tcBorders>
          </w:tcPr>
          <w:p>
            <w:pPr>
              <w:pStyle w:val="0"/>
            </w:pPr>
            <w:r>
              <w:rPr>
                <w:sz w:val="20"/>
              </w:rPr>
            </w:r>
          </w:p>
        </w:tc>
        <w:tc>
          <w:tcPr>
            <w:tcW w:w="340" w:type="dxa"/>
            <w:tcBorders>
              <w:left w:val="single" w:sz="4"/>
              <w:right w:val="single" w:sz="4"/>
            </w:tcBorders>
          </w:tcPr>
          <w:p>
            <w:pPr>
              <w:pStyle w:val="0"/>
            </w:pPr>
            <w:r>
              <w:rPr>
                <w:sz w:val="20"/>
              </w:rPr>
            </w:r>
          </w:p>
        </w:tc>
      </w:tr>
      <w:tr>
        <w:tc>
          <w:tcPr>
            <w:gridSpan w:val="24"/>
            <w:tcW w:w="12044" w:type="dxa"/>
            <w:vAlign w:val="center"/>
            <w:tcBorders>
              <w:top w:val="nil"/>
            </w:tcBorders>
          </w:tcPr>
          <w:p>
            <w:pPr>
              <w:pStyle w:val="0"/>
              <w:jc w:val="center"/>
            </w:pPr>
            <w:r>
              <w:rPr>
                <w:sz w:val="20"/>
              </w:rPr>
              <w:t xml:space="preserve">Рекомендации, необходимые для исполнения к очередному медицинскому освидетельствованию и в межкомиссионный период. Группа Д-наблюдения</w:t>
            </w:r>
          </w:p>
        </w:tc>
        <w:tc>
          <w:tcPr>
            <w:tcW w:w="340" w:type="dxa"/>
          </w:tcPr>
          <w:p>
            <w:pPr>
              <w:pStyle w:val="0"/>
            </w:pPr>
            <w:r>
              <w:rPr>
                <w:sz w:val="20"/>
              </w:rPr>
            </w:r>
          </w:p>
        </w:tc>
      </w:tr>
      <w:tr>
        <w:tblPrEx>
          <w:tblBorders>
            <w:insideV w:val="nil"/>
            <w:insideH w:val="nil"/>
          </w:tblBorders>
        </w:tblPrEx>
        <w:tc>
          <w:tcPr>
            <w:gridSpan w:val="4"/>
            <w:tcW w:w="2709" w:type="dxa"/>
            <w:tcBorders>
              <w:left w:val="single" w:sz="4"/>
              <w:bottom w:val="nil"/>
            </w:tcBorders>
          </w:tcPr>
          <w:p>
            <w:pPr>
              <w:pStyle w:val="0"/>
            </w:pPr>
            <w:r>
              <w:rPr>
                <w:sz w:val="20"/>
              </w:rPr>
              <w:t xml:space="preserve">Председатель</w:t>
            </w:r>
          </w:p>
          <w:p>
            <w:pPr>
              <w:pStyle w:val="0"/>
            </w:pPr>
            <w:r>
              <w:rPr>
                <w:sz w:val="20"/>
              </w:rPr>
              <w:t xml:space="preserve">(медицинский эксперт):</w:t>
            </w:r>
          </w:p>
        </w:tc>
        <w:tc>
          <w:tcPr>
            <w:gridSpan w:val="13"/>
            <w:tcW w:w="5911" w:type="dxa"/>
            <w:tcBorders>
              <w:bottom w:val="nil"/>
            </w:tcBorders>
          </w:tcPr>
          <w:p>
            <w:pPr>
              <w:pStyle w:val="0"/>
            </w:pPr>
            <w:r>
              <w:rPr>
                <w:sz w:val="20"/>
              </w:rPr>
            </w:r>
          </w:p>
        </w:tc>
        <w:tc>
          <w:tcPr>
            <w:gridSpan w:val="7"/>
            <w:tcW w:w="3424" w:type="dxa"/>
            <w:vAlign w:val="center"/>
            <w:tcBorders>
              <w:bottom w:val="nil"/>
              <w:right w:val="single" w:sz="4"/>
            </w:tcBorders>
          </w:tcPr>
          <w:p>
            <w:pPr>
              <w:pStyle w:val="0"/>
            </w:pPr>
            <w:r>
              <w:rPr>
                <w:sz w:val="20"/>
              </w:rPr>
              <w:t xml:space="preserve">Подпись, Фамилия, Инициалы</w:t>
            </w:r>
          </w:p>
        </w:tc>
        <w:tc>
          <w:tcPr>
            <w:tcW w:w="340" w:type="dxa"/>
            <w:tcBorders>
              <w:left w:val="single" w:sz="4"/>
              <w:bottom w:val="nil"/>
              <w:right w:val="single" w:sz="4"/>
            </w:tcBorders>
          </w:tcPr>
          <w:p>
            <w:pPr>
              <w:pStyle w:val="0"/>
            </w:pPr>
            <w:r>
              <w:rPr>
                <w:sz w:val="20"/>
              </w:rPr>
            </w:r>
          </w:p>
        </w:tc>
      </w:tr>
      <w:tr>
        <w:tblPrEx>
          <w:tblBorders>
            <w:insideV w:val="nil"/>
            <w:insideH w:val="nil"/>
          </w:tblBorders>
        </w:tblPrEx>
        <w:tc>
          <w:tcPr>
            <w:gridSpan w:val="3"/>
            <w:tcW w:w="1928" w:type="dxa"/>
            <w:tcBorders>
              <w:top w:val="nil"/>
              <w:left w:val="single" w:sz="4"/>
              <w:bottom w:val="nil"/>
            </w:tcBorders>
          </w:tcPr>
          <w:p>
            <w:pPr>
              <w:pStyle w:val="0"/>
            </w:pPr>
            <w:r>
              <w:rPr>
                <w:sz w:val="20"/>
              </w:rPr>
            </w:r>
          </w:p>
        </w:tc>
        <w:tc>
          <w:tcPr>
            <w:gridSpan w:val="14"/>
            <w:tcW w:w="6692" w:type="dxa"/>
            <w:tcBorders>
              <w:top w:val="nil"/>
              <w:bottom w:val="nil"/>
            </w:tcBorders>
          </w:tcPr>
          <w:p>
            <w:pPr>
              <w:pStyle w:val="0"/>
            </w:pPr>
            <w:r>
              <w:rPr>
                <w:sz w:val="20"/>
              </w:rPr>
              <w:t xml:space="preserve">М.П. Печать ВЛЭК/ЦВЛЭК</w:t>
            </w:r>
          </w:p>
        </w:tc>
        <w:tc>
          <w:tcPr>
            <w:gridSpan w:val="7"/>
            <w:tcW w:w="3424" w:type="dxa"/>
            <w:vAlign w:val="center"/>
            <w:tcBorders>
              <w:top w:val="nil"/>
              <w:bottom w:val="nil"/>
              <w:right w:val="single" w:sz="4"/>
            </w:tcBorders>
          </w:tcPr>
          <w:p>
            <w:pPr>
              <w:pStyle w:val="0"/>
            </w:pPr>
            <w:r>
              <w:rPr>
                <w:sz w:val="20"/>
              </w:rPr>
            </w:r>
          </w:p>
        </w:tc>
        <w:tc>
          <w:tcPr>
            <w:tcW w:w="340" w:type="dxa"/>
            <w:tcBorders>
              <w:top w:val="nil"/>
              <w:left w:val="single" w:sz="4"/>
              <w:bottom w:val="nil"/>
              <w:right w:val="single" w:sz="4"/>
            </w:tcBorders>
          </w:tcPr>
          <w:p>
            <w:pPr>
              <w:pStyle w:val="0"/>
            </w:pPr>
            <w:r>
              <w:rPr>
                <w:sz w:val="20"/>
              </w:rPr>
            </w:r>
          </w:p>
        </w:tc>
      </w:tr>
      <w:tr>
        <w:tblPrEx>
          <w:tblBorders>
            <w:insideV w:val="nil"/>
            <w:insideH w:val="nil"/>
          </w:tblBorders>
        </w:tblPrEx>
        <w:tc>
          <w:tcPr>
            <w:gridSpan w:val="4"/>
            <w:tcW w:w="2709" w:type="dxa"/>
            <w:tcBorders>
              <w:top w:val="nil"/>
              <w:left w:val="single" w:sz="4"/>
            </w:tcBorders>
          </w:tcPr>
          <w:p>
            <w:pPr>
              <w:pStyle w:val="0"/>
            </w:pPr>
            <w:r>
              <w:rPr>
                <w:sz w:val="20"/>
              </w:rPr>
              <w:t xml:space="preserve">Секретарь врачебно-летной экспертной комиссии:</w:t>
            </w:r>
          </w:p>
        </w:tc>
        <w:tc>
          <w:tcPr>
            <w:gridSpan w:val="13"/>
            <w:tcW w:w="5911" w:type="dxa"/>
            <w:tcBorders>
              <w:top w:val="nil"/>
            </w:tcBorders>
          </w:tcPr>
          <w:p>
            <w:pPr>
              <w:pStyle w:val="0"/>
            </w:pPr>
            <w:r>
              <w:rPr>
                <w:sz w:val="20"/>
              </w:rPr>
            </w:r>
          </w:p>
        </w:tc>
        <w:tc>
          <w:tcPr>
            <w:gridSpan w:val="7"/>
            <w:tcW w:w="3424" w:type="dxa"/>
            <w:vAlign w:val="center"/>
            <w:tcBorders>
              <w:top w:val="nil"/>
              <w:right w:val="single" w:sz="4"/>
            </w:tcBorders>
          </w:tcPr>
          <w:p>
            <w:pPr>
              <w:pStyle w:val="0"/>
            </w:pPr>
            <w:r>
              <w:rPr>
                <w:sz w:val="20"/>
              </w:rPr>
              <w:t xml:space="preserve">Подпись, Фамилия, Инициалы</w:t>
            </w:r>
          </w:p>
        </w:tc>
        <w:tc>
          <w:tcPr>
            <w:tcW w:w="340" w:type="dxa"/>
            <w:tcBorders>
              <w:top w:val="nil"/>
              <w:left w:val="single" w:sz="4"/>
              <w:right w:val="single" w:sz="4"/>
            </w:tcBorders>
          </w:tcPr>
          <w:p>
            <w:pPr>
              <w:pStyle w:val="0"/>
            </w:pPr>
            <w:r>
              <w:rPr>
                <w:sz w:val="20"/>
              </w:rPr>
            </w:r>
          </w:p>
        </w:tc>
      </w:tr>
      <w:tr>
        <w:tc>
          <w:tcPr>
            <w:gridSpan w:val="24"/>
            <w:tcW w:w="12044" w:type="dxa"/>
            <w:tcBorders>
              <w:bottom w:val="nil"/>
            </w:tcBorders>
          </w:tcPr>
          <w:p>
            <w:pPr>
              <w:pStyle w:val="0"/>
              <w:jc w:val="center"/>
            </w:pPr>
            <w:r>
              <w:rPr>
                <w:sz w:val="20"/>
              </w:rPr>
              <w:t xml:space="preserve">КОНТРОЛЬ СООТВЕТСТВИЯ. ОФИЦИАЛЬНОЕ МЕДИЦИНСКОЕ ЗАКЛЮЧЕНИЕ.</w:t>
            </w:r>
          </w:p>
        </w:tc>
        <w:tc>
          <w:tcPr>
            <w:tcW w:w="340" w:type="dxa"/>
          </w:tcPr>
          <w:p>
            <w:pPr>
              <w:pStyle w:val="0"/>
            </w:pPr>
            <w:r>
              <w:rPr>
                <w:sz w:val="20"/>
              </w:rPr>
            </w:r>
          </w:p>
        </w:tc>
      </w:tr>
      <w:tr>
        <w:tc>
          <w:tcPr>
            <w:gridSpan w:val="24"/>
            <w:tcW w:w="12044" w:type="dxa"/>
            <w:tcBorders>
              <w:top w:val="nil"/>
            </w:tcBorders>
          </w:tcPr>
          <w:p>
            <w:pPr>
              <w:pStyle w:val="0"/>
              <w:jc w:val="center"/>
            </w:pPr>
            <w:r>
              <w:rPr>
                <w:sz w:val="20"/>
              </w:rPr>
              <w:t xml:space="preserve">Ставится отметка о проведении контроля соответствия состояния здоровья обладателя свидетельства установленным требованиям. В случае вынесения официального медицинского заключения описывается обоснование и решение.</w:t>
            </w:r>
          </w:p>
        </w:tc>
        <w:tc>
          <w:tcPr>
            <w:tcW w:w="340" w:type="dxa"/>
          </w:tcPr>
          <w:p>
            <w:pPr>
              <w:pStyle w:val="0"/>
            </w:pPr>
            <w:r>
              <w:rPr>
                <w:sz w:val="20"/>
              </w:rPr>
            </w:r>
          </w:p>
        </w:tc>
      </w:tr>
      <w:tr>
        <w:tblPrEx>
          <w:tblBorders>
            <w:insideV w:val="nil"/>
          </w:tblBorders>
        </w:tblPrEx>
        <w:tc>
          <w:tcPr>
            <w:gridSpan w:val="4"/>
            <w:tcW w:w="2709" w:type="dxa"/>
            <w:tcBorders>
              <w:left w:val="single" w:sz="4"/>
              <w:bottom w:val="nil"/>
            </w:tcBorders>
          </w:tcPr>
          <w:p>
            <w:pPr>
              <w:pStyle w:val="0"/>
            </w:pPr>
            <w:r>
              <w:rPr>
                <w:sz w:val="20"/>
              </w:rPr>
              <w:t xml:space="preserve">Председатель ЦВЛЭК (медицинский эксперт):</w:t>
            </w:r>
          </w:p>
        </w:tc>
        <w:tc>
          <w:tcPr>
            <w:gridSpan w:val="11"/>
            <w:tcW w:w="5117" w:type="dxa"/>
            <w:tcBorders>
              <w:bottom w:val="nil"/>
            </w:tcBorders>
          </w:tcPr>
          <w:p>
            <w:pPr>
              <w:pStyle w:val="0"/>
            </w:pPr>
            <w:r>
              <w:rPr>
                <w:sz w:val="20"/>
              </w:rPr>
            </w:r>
          </w:p>
        </w:tc>
        <w:tc>
          <w:tcPr>
            <w:gridSpan w:val="9"/>
            <w:tcW w:w="4218" w:type="dxa"/>
            <w:tcBorders>
              <w:bottom w:val="nil"/>
              <w:right w:val="single" w:sz="4"/>
            </w:tcBorders>
          </w:tcPr>
          <w:p>
            <w:pPr>
              <w:pStyle w:val="0"/>
            </w:pPr>
            <w:r>
              <w:rPr>
                <w:sz w:val="20"/>
              </w:rPr>
              <w:t xml:space="preserve">Должность, подпись, фамилия, инициалы</w:t>
            </w:r>
          </w:p>
        </w:tc>
        <w:tc>
          <w:tcPr>
            <w:tcW w:w="340" w:type="dxa"/>
            <w:tcBorders>
              <w:left w:val="single" w:sz="4"/>
              <w:right w:val="single" w:sz="4"/>
            </w:tcBorders>
          </w:tcPr>
          <w:p>
            <w:pPr>
              <w:pStyle w:val="0"/>
            </w:pPr>
            <w:r>
              <w:rPr>
                <w:sz w:val="20"/>
              </w:rPr>
            </w:r>
          </w:p>
        </w:tc>
      </w:tr>
      <w:tr>
        <w:tblPrEx>
          <w:tblBorders>
            <w:insideV w:val="nil"/>
            <w:insideH w:val="nil"/>
          </w:tblBorders>
        </w:tblPrEx>
        <w:tc>
          <w:tcPr>
            <w:gridSpan w:val="3"/>
            <w:tcW w:w="1928" w:type="dxa"/>
            <w:tcBorders>
              <w:top w:val="nil"/>
              <w:left w:val="single" w:sz="4"/>
              <w:bottom w:val="nil"/>
            </w:tcBorders>
          </w:tcPr>
          <w:p>
            <w:pPr>
              <w:pStyle w:val="0"/>
            </w:pPr>
            <w:r>
              <w:rPr>
                <w:sz w:val="20"/>
              </w:rPr>
            </w:r>
          </w:p>
        </w:tc>
        <w:tc>
          <w:tcPr>
            <w:gridSpan w:val="12"/>
            <w:tcW w:w="5898" w:type="dxa"/>
            <w:tcBorders>
              <w:top w:val="nil"/>
              <w:bottom w:val="nil"/>
            </w:tcBorders>
          </w:tcPr>
          <w:p>
            <w:pPr>
              <w:pStyle w:val="0"/>
            </w:pPr>
            <w:r>
              <w:rPr>
                <w:sz w:val="20"/>
              </w:rPr>
              <w:t xml:space="preserve">М.П. Печать ВЛЭК/ЦВЛЭК</w:t>
            </w:r>
          </w:p>
        </w:tc>
        <w:tc>
          <w:tcPr>
            <w:gridSpan w:val="9"/>
            <w:tcW w:w="4218" w:type="dxa"/>
            <w:tcBorders>
              <w:top w:val="nil"/>
              <w:bottom w:val="nil"/>
              <w:right w:val="single" w:sz="4"/>
            </w:tcBorders>
          </w:tcPr>
          <w:p>
            <w:pPr>
              <w:pStyle w:val="0"/>
            </w:pPr>
            <w:r>
              <w:rPr>
                <w:sz w:val="20"/>
              </w:rPr>
            </w:r>
          </w:p>
        </w:tc>
        <w:tc>
          <w:tcPr>
            <w:tcW w:w="340" w:type="dxa"/>
            <w:tcBorders>
              <w:left w:val="single" w:sz="4"/>
              <w:right w:val="single" w:sz="4"/>
            </w:tcBorders>
          </w:tcPr>
          <w:p>
            <w:pPr>
              <w:pStyle w:val="0"/>
            </w:pPr>
            <w:r>
              <w:rPr>
                <w:sz w:val="20"/>
              </w:rPr>
            </w:r>
          </w:p>
        </w:tc>
      </w:tr>
      <w:tr>
        <w:tblPrEx>
          <w:tblBorders>
            <w:insideV w:val="nil"/>
            <w:insideH w:val="nil"/>
          </w:tblBorders>
        </w:tblPrEx>
        <w:tc>
          <w:tcPr>
            <w:gridSpan w:val="4"/>
            <w:tcW w:w="2709" w:type="dxa"/>
            <w:tcBorders>
              <w:top w:val="nil"/>
              <w:left w:val="single" w:sz="4"/>
              <w:bottom w:val="nil"/>
            </w:tcBorders>
          </w:tcPr>
          <w:p>
            <w:pPr>
              <w:pStyle w:val="0"/>
            </w:pPr>
            <w:r>
              <w:rPr>
                <w:sz w:val="20"/>
              </w:rPr>
              <w:t xml:space="preserve">Члены комиссии:</w:t>
            </w:r>
          </w:p>
        </w:tc>
        <w:tc>
          <w:tcPr>
            <w:gridSpan w:val="11"/>
            <w:tcW w:w="5117" w:type="dxa"/>
            <w:tcBorders>
              <w:top w:val="nil"/>
              <w:bottom w:val="nil"/>
            </w:tcBorders>
          </w:tcPr>
          <w:p>
            <w:pPr>
              <w:pStyle w:val="0"/>
            </w:pPr>
            <w:r>
              <w:rPr>
                <w:sz w:val="20"/>
              </w:rPr>
            </w:r>
          </w:p>
        </w:tc>
        <w:tc>
          <w:tcPr>
            <w:gridSpan w:val="9"/>
            <w:tcW w:w="4218" w:type="dxa"/>
            <w:tcBorders>
              <w:top w:val="nil"/>
              <w:bottom w:val="nil"/>
              <w:right w:val="single" w:sz="4"/>
            </w:tcBorders>
          </w:tcPr>
          <w:p>
            <w:pPr>
              <w:pStyle w:val="0"/>
            </w:pPr>
            <w:r>
              <w:rPr>
                <w:sz w:val="20"/>
              </w:rPr>
              <w:t xml:space="preserve">Должности, подписи, фамилии, инициалы</w:t>
            </w:r>
          </w:p>
        </w:tc>
        <w:tc>
          <w:tcPr>
            <w:tcW w:w="340" w:type="dxa"/>
            <w:tcBorders>
              <w:left w:val="single" w:sz="4"/>
              <w:right w:val="single" w:sz="4"/>
            </w:tcBorders>
          </w:tcPr>
          <w:p>
            <w:pPr>
              <w:pStyle w:val="0"/>
            </w:pPr>
            <w:r>
              <w:rPr>
                <w:sz w:val="20"/>
              </w:rPr>
            </w:r>
          </w:p>
        </w:tc>
      </w:tr>
      <w:tr>
        <w:tblPrEx>
          <w:tblBorders>
            <w:insideV w:val="nil"/>
            <w:insideH w:val="nil"/>
          </w:tblBorders>
        </w:tblPrEx>
        <w:tc>
          <w:tcPr>
            <w:gridSpan w:val="4"/>
            <w:tcW w:w="2709" w:type="dxa"/>
            <w:tcBorders>
              <w:top w:val="nil"/>
              <w:left w:val="single" w:sz="4"/>
            </w:tcBorders>
          </w:tcPr>
          <w:p>
            <w:pPr>
              <w:pStyle w:val="0"/>
            </w:pPr>
            <w:r>
              <w:rPr>
                <w:sz w:val="20"/>
              </w:rPr>
              <w:t xml:space="preserve">Привлеченные эксперты:</w:t>
            </w:r>
          </w:p>
        </w:tc>
        <w:tc>
          <w:tcPr>
            <w:gridSpan w:val="11"/>
            <w:tcW w:w="5117" w:type="dxa"/>
            <w:tcBorders>
              <w:top w:val="nil"/>
            </w:tcBorders>
          </w:tcPr>
          <w:p>
            <w:pPr>
              <w:pStyle w:val="0"/>
            </w:pPr>
            <w:r>
              <w:rPr>
                <w:sz w:val="20"/>
              </w:rPr>
            </w:r>
          </w:p>
        </w:tc>
        <w:tc>
          <w:tcPr>
            <w:gridSpan w:val="9"/>
            <w:tcW w:w="4218" w:type="dxa"/>
            <w:tcBorders>
              <w:top w:val="nil"/>
              <w:right w:val="single" w:sz="4"/>
            </w:tcBorders>
          </w:tcPr>
          <w:p>
            <w:pPr>
              <w:pStyle w:val="0"/>
            </w:pPr>
            <w:r>
              <w:rPr>
                <w:sz w:val="20"/>
              </w:rPr>
              <w:t xml:space="preserve">Должности, подписи, фамилии, инициалы</w:t>
            </w:r>
          </w:p>
        </w:tc>
        <w:tc>
          <w:tcPr>
            <w:tcW w:w="340" w:type="dxa"/>
            <w:tcBorders>
              <w:left w:val="single" w:sz="4"/>
              <w:right w:val="single" w:sz="4"/>
            </w:tcBorders>
          </w:tcPr>
          <w:p>
            <w:pPr>
              <w:pStyle w:val="0"/>
            </w:pPr>
            <w:r>
              <w:rPr>
                <w:sz w:val="20"/>
              </w:rPr>
            </w:r>
          </w:p>
        </w:tc>
      </w:tr>
    </w:tbl>
    <w:p>
      <w:pPr>
        <w:sectPr>
          <w:headerReference w:type="default" r:id="rId60"/>
          <w:headerReference w:type="first" r:id="rId60"/>
          <w:footerReference w:type="default" r:id="rId61"/>
          <w:footerReference w:type="first" r:id="rId61"/>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Порядку</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052" w:name="P4052"/>
    <w:bookmarkEnd w:id="4052"/>
    <w:p>
      <w:pPr>
        <w:pStyle w:val="1"/>
        <w:jc w:val="both"/>
      </w:pPr>
      <w:r>
        <w:rPr>
          <w:sz w:val="20"/>
        </w:rPr>
        <w:t xml:space="preserve">                   ЖУРНАЛ ПРОТОКОЛОВ ВЛЭК ГА (ЦВЛЭК ГА)</w:t>
      </w:r>
    </w:p>
    <w:p>
      <w:pPr>
        <w:pStyle w:val="1"/>
        <w:jc w:val="both"/>
      </w:pPr>
      <w:r>
        <w:rPr>
          <w:sz w:val="20"/>
        </w:rPr>
      </w:r>
    </w:p>
    <w:p>
      <w:pPr>
        <w:pStyle w:val="1"/>
        <w:jc w:val="both"/>
      </w:pPr>
      <w:r>
        <w:rPr>
          <w:sz w:val="20"/>
        </w:rPr>
        <w:t xml:space="preserve">Протокол заседания ВЛЭК ГА N ____ от "__" __________ ____ г.</w:t>
      </w:r>
    </w:p>
    <w:p>
      <w:pPr>
        <w:pStyle w:val="1"/>
        <w:jc w:val="both"/>
      </w:pPr>
      <w:r>
        <w:rPr>
          <w:sz w:val="20"/>
        </w:rPr>
        <w:t xml:space="preserve">Медицинский эксперт-председатель __________ Члены _________________________</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417"/>
        <w:gridCol w:w="850"/>
        <w:gridCol w:w="1984"/>
        <w:gridCol w:w="2515"/>
        <w:gridCol w:w="1560"/>
        <w:gridCol w:w="2338"/>
      </w:tblGrid>
      <w:tr>
        <w:tc>
          <w:tcPr>
            <w:tcW w:w="567" w:type="dxa"/>
          </w:tcPr>
          <w:p>
            <w:pPr>
              <w:pStyle w:val="0"/>
              <w:jc w:val="center"/>
            </w:pPr>
            <w:r>
              <w:rPr>
                <w:sz w:val="20"/>
              </w:rPr>
              <w:t xml:space="preserve">N п/п</w:t>
            </w:r>
          </w:p>
        </w:tc>
        <w:tc>
          <w:tcPr>
            <w:tcW w:w="1417" w:type="dxa"/>
          </w:tcPr>
          <w:p>
            <w:pPr>
              <w:pStyle w:val="0"/>
              <w:jc w:val="center"/>
            </w:pPr>
            <w:r>
              <w:rPr>
                <w:sz w:val="20"/>
              </w:rPr>
              <w:t xml:space="preserve">Ф.И.О.</w:t>
            </w:r>
          </w:p>
        </w:tc>
        <w:tc>
          <w:tcPr>
            <w:tcW w:w="850" w:type="dxa"/>
          </w:tcPr>
          <w:p>
            <w:pPr>
              <w:pStyle w:val="0"/>
              <w:jc w:val="center"/>
            </w:pPr>
            <w:r>
              <w:rPr>
                <w:sz w:val="20"/>
              </w:rPr>
              <w:t xml:space="preserve">Год рожд.</w:t>
            </w:r>
          </w:p>
        </w:tc>
        <w:tc>
          <w:tcPr>
            <w:tcW w:w="1984" w:type="dxa"/>
          </w:tcPr>
          <w:p>
            <w:pPr>
              <w:pStyle w:val="0"/>
              <w:jc w:val="center"/>
            </w:pPr>
            <w:r>
              <w:rPr>
                <w:sz w:val="20"/>
              </w:rPr>
              <w:t xml:space="preserve">Должность, место работы, общее летное время (час.)</w:t>
            </w:r>
          </w:p>
        </w:tc>
        <w:tc>
          <w:tcPr>
            <w:tcW w:w="2515" w:type="dxa"/>
          </w:tcPr>
          <w:p>
            <w:pPr>
              <w:pStyle w:val="0"/>
              <w:jc w:val="center"/>
            </w:pPr>
            <w:r>
              <w:rPr>
                <w:sz w:val="20"/>
              </w:rPr>
              <w:t xml:space="preserve">Повод для освидетельствования</w:t>
            </w:r>
          </w:p>
        </w:tc>
        <w:tc>
          <w:tcPr>
            <w:tcW w:w="1560" w:type="dxa"/>
          </w:tcPr>
          <w:p>
            <w:pPr>
              <w:pStyle w:val="0"/>
              <w:jc w:val="center"/>
            </w:pPr>
            <w:r>
              <w:rPr>
                <w:sz w:val="20"/>
              </w:rPr>
              <w:t xml:space="preserve">Жалобы, клинический диагноз</w:t>
            </w:r>
          </w:p>
        </w:tc>
        <w:tc>
          <w:tcPr>
            <w:tcW w:w="2338" w:type="dxa"/>
          </w:tcPr>
          <w:p>
            <w:pPr>
              <w:pStyle w:val="0"/>
              <w:jc w:val="center"/>
            </w:pPr>
            <w:r>
              <w:rPr>
                <w:sz w:val="20"/>
              </w:rPr>
              <w:t xml:space="preserve">Медицинское заключение, рекомендации</w:t>
            </w:r>
          </w:p>
        </w:tc>
      </w:tr>
      <w:tr>
        <w:tc>
          <w:tcPr>
            <w:tcW w:w="567" w:type="dxa"/>
          </w:tcPr>
          <w:p>
            <w:pPr>
              <w:pStyle w:val="0"/>
              <w:jc w:val="center"/>
            </w:pPr>
            <w:r>
              <w:rPr>
                <w:sz w:val="20"/>
              </w:rPr>
              <w:t xml:space="preserve">1</w:t>
            </w:r>
          </w:p>
        </w:tc>
        <w:tc>
          <w:tcPr>
            <w:tcW w:w="1417" w:type="dxa"/>
          </w:tcPr>
          <w:p>
            <w:pPr>
              <w:pStyle w:val="0"/>
              <w:jc w:val="center"/>
            </w:pPr>
            <w:r>
              <w:rPr>
                <w:sz w:val="20"/>
              </w:rPr>
              <w:t xml:space="preserve">2</w:t>
            </w:r>
          </w:p>
        </w:tc>
        <w:tc>
          <w:tcPr>
            <w:tcW w:w="850" w:type="dxa"/>
          </w:tcPr>
          <w:p>
            <w:pPr>
              <w:pStyle w:val="0"/>
              <w:jc w:val="center"/>
            </w:pPr>
            <w:r>
              <w:rPr>
                <w:sz w:val="20"/>
              </w:rPr>
              <w:t xml:space="preserve">3</w:t>
            </w:r>
          </w:p>
        </w:tc>
        <w:tc>
          <w:tcPr>
            <w:tcW w:w="1984" w:type="dxa"/>
          </w:tcPr>
          <w:p>
            <w:pPr>
              <w:pStyle w:val="0"/>
              <w:jc w:val="center"/>
            </w:pPr>
            <w:r>
              <w:rPr>
                <w:sz w:val="20"/>
              </w:rPr>
              <w:t xml:space="preserve">4</w:t>
            </w:r>
          </w:p>
        </w:tc>
        <w:tc>
          <w:tcPr>
            <w:tcW w:w="2515" w:type="dxa"/>
          </w:tcPr>
          <w:p>
            <w:pPr>
              <w:pStyle w:val="0"/>
              <w:jc w:val="center"/>
            </w:pPr>
            <w:r>
              <w:rPr>
                <w:sz w:val="20"/>
              </w:rPr>
              <w:t xml:space="preserve">5</w:t>
            </w:r>
          </w:p>
        </w:tc>
        <w:tc>
          <w:tcPr>
            <w:tcW w:w="1560" w:type="dxa"/>
          </w:tcPr>
          <w:p>
            <w:pPr>
              <w:pStyle w:val="0"/>
              <w:jc w:val="center"/>
            </w:pPr>
            <w:r>
              <w:rPr>
                <w:sz w:val="20"/>
              </w:rPr>
              <w:t xml:space="preserve">6</w:t>
            </w:r>
          </w:p>
        </w:tc>
        <w:tc>
          <w:tcPr>
            <w:tcW w:w="2338" w:type="dxa"/>
          </w:tcPr>
          <w:p>
            <w:pPr>
              <w:pStyle w:val="0"/>
              <w:jc w:val="center"/>
            </w:pPr>
            <w:r>
              <w:rPr>
                <w:sz w:val="20"/>
              </w:rPr>
              <w:t xml:space="preserve">7</w:t>
            </w:r>
          </w:p>
        </w:tc>
      </w:tr>
    </w:tbl>
    <w:p>
      <w:pPr>
        <w:pStyle w:val="0"/>
        <w:jc w:val="both"/>
      </w:pPr>
      <w:r>
        <w:rPr>
          <w:sz w:val="20"/>
        </w:rPr>
      </w:r>
    </w:p>
    <w:p>
      <w:pPr>
        <w:pStyle w:val="1"/>
        <w:jc w:val="both"/>
      </w:pPr>
      <w:r>
        <w:rPr>
          <w:sz w:val="20"/>
        </w:rPr>
        <w:t xml:space="preserve">Медицинский эксперт - председатель ВЛЭК ГА (ЦВЛЭК ГА)   _________ (подпись)</w:t>
      </w:r>
    </w:p>
    <w:p>
      <w:pPr>
        <w:pStyle w:val="1"/>
        <w:jc w:val="both"/>
      </w:pPr>
      <w:r>
        <w:rPr>
          <w:sz w:val="20"/>
        </w:rPr>
      </w:r>
    </w:p>
    <w:p>
      <w:pPr>
        <w:pStyle w:val="1"/>
        <w:jc w:val="both"/>
      </w:pPr>
      <w:r>
        <w:rPr>
          <w:sz w:val="20"/>
        </w:rPr>
        <w:t xml:space="preserve">Секретарь ВЛЭК ГА (ЦВЛЭК ГА)                            _________ (подпись)</w:t>
      </w:r>
    </w:p>
    <w:p>
      <w:pPr>
        <w:pStyle w:val="1"/>
        <w:jc w:val="both"/>
      </w:pPr>
      <w:r>
        <w:rPr>
          <w:sz w:val="20"/>
        </w:rPr>
      </w:r>
    </w:p>
    <w:p>
      <w:pPr>
        <w:pStyle w:val="1"/>
        <w:jc w:val="both"/>
      </w:pPr>
      <w:r>
        <w:rPr>
          <w:sz w:val="20"/>
        </w:rPr>
        <w:t xml:space="preserve">М.П.</w:t>
      </w:r>
    </w:p>
    <w:p>
      <w:pPr>
        <w:sectPr>
          <w:headerReference w:type="default" r:id="rId60"/>
          <w:headerReference w:type="first" r:id="rId60"/>
          <w:footerReference w:type="default" r:id="rId61"/>
          <w:footerReference w:type="first" r:id="rId61"/>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Порядку</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1"/>
        <w:jc w:val="both"/>
      </w:pPr>
      <w:r>
        <w:rPr>
          <w:sz w:val="20"/>
        </w:rPr>
        <w:t xml:space="preserve">    Штамп ВЛЭК ГА</w:t>
      </w:r>
    </w:p>
    <w:p>
      <w:pPr>
        <w:pStyle w:val="1"/>
        <w:jc w:val="both"/>
      </w:pPr>
      <w:r>
        <w:rPr>
          <w:sz w:val="20"/>
        </w:rPr>
      </w:r>
    </w:p>
    <w:bookmarkStart w:id="4089" w:name="P4089"/>
    <w:bookmarkEnd w:id="4089"/>
    <w:p>
      <w:pPr>
        <w:pStyle w:val="1"/>
        <w:jc w:val="both"/>
      </w:pPr>
      <w:r>
        <w:rPr>
          <w:sz w:val="20"/>
        </w:rPr>
        <w:t xml:space="preserve">                        Справка ВЛЭК ГА (ЦВЛЭК ГА)</w:t>
      </w:r>
    </w:p>
    <w:p>
      <w:pPr>
        <w:pStyle w:val="1"/>
        <w:jc w:val="both"/>
      </w:pPr>
      <w:r>
        <w:rPr>
          <w:sz w:val="20"/>
        </w:rPr>
        <w:t xml:space="preserve">                     о медицинском освидетельствовании</w:t>
      </w:r>
    </w:p>
    <w:p>
      <w:pPr>
        <w:pStyle w:val="1"/>
        <w:jc w:val="both"/>
      </w:pPr>
      <w:r>
        <w:rPr>
          <w:sz w:val="20"/>
        </w:rPr>
        <w:t xml:space="preserve">                                     N</w:t>
      </w:r>
    </w:p>
    <w:p>
      <w:pPr>
        <w:pStyle w:val="1"/>
        <w:jc w:val="both"/>
      </w:pPr>
      <w:r>
        <w:rPr>
          <w:sz w:val="20"/>
        </w:rPr>
      </w:r>
    </w:p>
    <w:p>
      <w:pPr>
        <w:pStyle w:val="1"/>
        <w:jc w:val="both"/>
      </w:pPr>
      <w:r>
        <w:rPr>
          <w:sz w:val="20"/>
        </w:rPr>
        <w:t xml:space="preserve">Выдана ____________________________________________________________________</w:t>
      </w:r>
    </w:p>
    <w:p>
      <w:pPr>
        <w:pStyle w:val="1"/>
        <w:jc w:val="both"/>
      </w:pPr>
      <w:r>
        <w:rPr>
          <w:sz w:val="20"/>
        </w:rPr>
        <w:t xml:space="preserve">              (фамилия, имя, отчество (при наличии), год рождения)</w:t>
      </w:r>
    </w:p>
    <w:p>
      <w:pPr>
        <w:pStyle w:val="1"/>
        <w:jc w:val="both"/>
      </w:pPr>
      <w:r>
        <w:rPr>
          <w:sz w:val="20"/>
        </w:rPr>
        <w:t xml:space="preserve">в  том,  что ему (ей)  отказано  в  выдаче  медицинского  заключения  из-за</w:t>
      </w:r>
    </w:p>
    <w:p>
      <w:pPr>
        <w:pStyle w:val="1"/>
        <w:jc w:val="both"/>
      </w:pPr>
      <w:r>
        <w:rPr>
          <w:sz w:val="20"/>
        </w:rPr>
        <w:t xml:space="preserve">несоответствия требованиям Порядка: пункт ____, приложение N ____.</w:t>
      </w:r>
    </w:p>
    <w:p>
      <w:pPr>
        <w:pStyle w:val="1"/>
        <w:jc w:val="both"/>
      </w:pPr>
      <w:r>
        <w:rPr>
          <w:sz w:val="20"/>
        </w:rPr>
        <w:t xml:space="preserve">Рекомендации:</w:t>
      </w:r>
    </w:p>
    <w:p>
      <w:pPr>
        <w:pStyle w:val="1"/>
        <w:jc w:val="both"/>
      </w:pPr>
      <w:r>
        <w:rPr>
          <w:sz w:val="20"/>
        </w:rPr>
        <w:t xml:space="preserve">повторное  освидетельствование  не  рекомендовано, рекомендовано через ____</w:t>
      </w:r>
    </w:p>
    <w:p>
      <w:pPr>
        <w:pStyle w:val="1"/>
        <w:jc w:val="both"/>
      </w:pPr>
      <w:r>
        <w:rPr>
          <w:sz w:val="20"/>
        </w:rPr>
        <w:t xml:space="preserve">месяцев.</w:t>
      </w:r>
    </w:p>
    <w:p>
      <w:pPr>
        <w:pStyle w:val="1"/>
        <w:jc w:val="both"/>
      </w:pPr>
      <w:r>
        <w:rPr>
          <w:sz w:val="20"/>
        </w:rPr>
        <w:t xml:space="preserve">(ненужное вычеркнуть)</w:t>
      </w:r>
    </w:p>
    <w:p>
      <w:pPr>
        <w:pStyle w:val="1"/>
        <w:jc w:val="both"/>
      </w:pPr>
      <w:r>
        <w:rPr>
          <w:sz w:val="20"/>
        </w:rPr>
        <w:t xml:space="preserve">Отказ  в  выдаче  медицинского заключения может быть опротестован в порядке</w:t>
      </w:r>
    </w:p>
    <w:p>
      <w:pPr>
        <w:pStyle w:val="1"/>
        <w:jc w:val="both"/>
      </w:pPr>
      <w:r>
        <w:rPr>
          <w:sz w:val="20"/>
        </w:rPr>
        <w:t xml:space="preserve">установленном законодательством Российской Федерации.</w:t>
      </w:r>
    </w:p>
    <w:p>
      <w:pPr>
        <w:pStyle w:val="1"/>
        <w:jc w:val="both"/>
      </w:pPr>
      <w:r>
        <w:rPr>
          <w:sz w:val="20"/>
        </w:rPr>
      </w:r>
    </w:p>
    <w:p>
      <w:pPr>
        <w:pStyle w:val="1"/>
        <w:jc w:val="both"/>
      </w:pPr>
      <w:r>
        <w:rPr>
          <w:sz w:val="20"/>
        </w:rPr>
        <w:t xml:space="preserve">Дата выдачи справки "  " __________ ____ г.</w:t>
      </w:r>
    </w:p>
    <w:p>
      <w:pPr>
        <w:pStyle w:val="1"/>
        <w:jc w:val="both"/>
      </w:pPr>
      <w:r>
        <w:rPr>
          <w:sz w:val="20"/>
        </w:rPr>
      </w:r>
    </w:p>
    <w:p>
      <w:pPr>
        <w:pStyle w:val="1"/>
        <w:jc w:val="both"/>
      </w:pPr>
      <w:r>
        <w:rPr>
          <w:sz w:val="20"/>
        </w:rPr>
        <w:t xml:space="preserve">Медицинский эксперт - председатель</w:t>
      </w:r>
    </w:p>
    <w:p>
      <w:pPr>
        <w:pStyle w:val="1"/>
        <w:jc w:val="both"/>
      </w:pPr>
      <w:r>
        <w:rPr>
          <w:sz w:val="20"/>
        </w:rPr>
        <w:t xml:space="preserve">ВЛЭК ГА (ЦВЛЭК ГА)                   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подпись)</w:t>
      </w:r>
    </w:p>
    <w:p>
      <w:pPr>
        <w:pStyle w:val="1"/>
        <w:jc w:val="both"/>
      </w:pPr>
      <w:r>
        <w:rPr>
          <w:sz w:val="20"/>
        </w:rPr>
        <w:t xml:space="preserve">М.П.</w:t>
      </w:r>
    </w:p>
    <w:p>
      <w:pPr>
        <w:pStyle w:val="1"/>
        <w:jc w:val="both"/>
      </w:pPr>
      <w:r>
        <w:rPr>
          <w:sz w:val="20"/>
        </w:rPr>
      </w:r>
    </w:p>
    <w:p>
      <w:pPr>
        <w:pStyle w:val="1"/>
        <w:jc w:val="both"/>
      </w:pPr>
      <w:r>
        <w:rPr>
          <w:sz w:val="20"/>
        </w:rPr>
        <w:t xml:space="preserve">Штамп ВЛЭК ГА                  В отдел кадров</w:t>
      </w:r>
    </w:p>
    <w:p>
      <w:pPr>
        <w:pStyle w:val="1"/>
        <w:jc w:val="both"/>
      </w:pPr>
      <w:r>
        <w:rPr>
          <w:sz w:val="20"/>
        </w:rPr>
        <w:t xml:space="preserve">                      (наименование авиапредприятия)</w:t>
      </w:r>
    </w:p>
    <w:p>
      <w:pPr>
        <w:pStyle w:val="1"/>
        <w:jc w:val="both"/>
      </w:pPr>
      <w:r>
        <w:rPr>
          <w:sz w:val="20"/>
        </w:rPr>
      </w:r>
    </w:p>
    <w:p>
      <w:pPr>
        <w:pStyle w:val="1"/>
        <w:jc w:val="both"/>
      </w:pPr>
      <w:r>
        <w:rPr>
          <w:sz w:val="20"/>
        </w:rPr>
        <w:t xml:space="preserve">                                Извещение N</w:t>
      </w:r>
    </w:p>
    <w:p>
      <w:pPr>
        <w:pStyle w:val="1"/>
        <w:jc w:val="both"/>
      </w:pPr>
      <w:r>
        <w:rPr>
          <w:sz w:val="20"/>
        </w:rPr>
        <w:t xml:space="preserve">                об отказе в выдаче медицинского заключения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освидетельствуемого)</w:t>
      </w:r>
    </w:p>
    <w:p>
      <w:pPr>
        <w:pStyle w:val="1"/>
        <w:jc w:val="both"/>
      </w:pPr>
      <w:r>
        <w:rPr>
          <w:sz w:val="20"/>
        </w:rPr>
        <w:t xml:space="preserve">отказано  в  выдаче  медицинского  заключения  о  годности к летной работе,</w:t>
      </w:r>
    </w:p>
    <w:p>
      <w:pPr>
        <w:pStyle w:val="1"/>
        <w:jc w:val="both"/>
      </w:pPr>
      <w:r>
        <w:rPr>
          <w:sz w:val="20"/>
        </w:rPr>
        <w:t xml:space="preserve">диспетчером УВД, пилотом АОН из-за несоответствия требованиям Порядка.</w:t>
      </w:r>
    </w:p>
    <w:p>
      <w:pPr>
        <w:pStyle w:val="1"/>
        <w:jc w:val="both"/>
      </w:pPr>
      <w:r>
        <w:rPr>
          <w:sz w:val="20"/>
        </w:rPr>
      </w:r>
    </w:p>
    <w:p>
      <w:pPr>
        <w:pStyle w:val="1"/>
        <w:jc w:val="both"/>
      </w:pPr>
      <w:r>
        <w:rPr>
          <w:sz w:val="20"/>
        </w:rPr>
        <w:t xml:space="preserve">число                  месяц                  год ____ г.</w:t>
      </w:r>
    </w:p>
    <w:p>
      <w:pPr>
        <w:pStyle w:val="1"/>
        <w:jc w:val="both"/>
      </w:pPr>
      <w:r>
        <w:rPr>
          <w:sz w:val="20"/>
        </w:rPr>
      </w:r>
    </w:p>
    <w:p>
      <w:pPr>
        <w:pStyle w:val="1"/>
        <w:jc w:val="both"/>
      </w:pPr>
      <w:r>
        <w:rPr>
          <w:sz w:val="20"/>
        </w:rPr>
        <w:t xml:space="preserve">Медицинский эксперт - председатель ВЛЭК ГА ________________________________</w:t>
      </w:r>
    </w:p>
    <w:p>
      <w:pPr>
        <w:pStyle w:val="1"/>
        <w:jc w:val="both"/>
      </w:pPr>
      <w:r>
        <w:rPr>
          <w:sz w:val="20"/>
        </w:rPr>
        <w:t xml:space="preserve">                                                (подпись, расшифровка)</w:t>
      </w:r>
    </w:p>
    <w:p>
      <w:pPr>
        <w:pStyle w:val="1"/>
        <w:jc w:val="both"/>
      </w:pPr>
      <w:r>
        <w:rPr>
          <w:sz w:val="20"/>
        </w:rPr>
      </w:r>
    </w:p>
    <w:p>
      <w:pPr>
        <w:pStyle w:val="1"/>
        <w:jc w:val="both"/>
      </w:pPr>
      <w:r>
        <w:rPr>
          <w:sz w:val="20"/>
        </w:rPr>
        <w:t xml:space="preserve">М.П.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1"/>
        <w:jc w:val="both"/>
      </w:pPr>
      <w:r>
        <w:rPr>
          <w:sz w:val="20"/>
        </w:rPr>
        <w:t xml:space="preserve">Штамп с наименованием</w:t>
      </w:r>
    </w:p>
    <w:p>
      <w:pPr>
        <w:pStyle w:val="1"/>
        <w:jc w:val="both"/>
      </w:pPr>
      <w:r>
        <w:rPr>
          <w:sz w:val="20"/>
        </w:rPr>
        <w:t xml:space="preserve">      учреждения</w:t>
      </w:r>
    </w:p>
    <w:p>
      <w:pPr>
        <w:pStyle w:val="1"/>
        <w:jc w:val="both"/>
      </w:pPr>
      <w:r>
        <w:rPr>
          <w:sz w:val="20"/>
        </w:rPr>
      </w:r>
    </w:p>
    <w:bookmarkStart w:id="4144" w:name="P4144"/>
    <w:bookmarkEnd w:id="4144"/>
    <w:p>
      <w:pPr>
        <w:pStyle w:val="1"/>
        <w:jc w:val="both"/>
      </w:pPr>
      <w:r>
        <w:rPr>
          <w:sz w:val="20"/>
        </w:rPr>
        <w:t xml:space="preserve">                                НАПРАВЛЕНИЕ</w:t>
      </w:r>
    </w:p>
    <w:p>
      <w:pPr>
        <w:pStyle w:val="1"/>
        <w:jc w:val="both"/>
      </w:pPr>
      <w:r>
        <w:rPr>
          <w:sz w:val="20"/>
        </w:rPr>
        <w:t xml:space="preserve">                      в медицинскую организацию, ЦВЛЭК ГА</w:t>
      </w:r>
    </w:p>
    <w:p>
      <w:pPr>
        <w:pStyle w:val="1"/>
        <w:jc w:val="both"/>
      </w:pPr>
      <w:r>
        <w:rPr>
          <w:sz w:val="20"/>
        </w:rPr>
        <w:t xml:space="preserve">          (на госпитализацию, консультацию, освидетельствование)</w:t>
      </w:r>
    </w:p>
    <w:p>
      <w:pPr>
        <w:pStyle w:val="1"/>
        <w:jc w:val="both"/>
      </w:pPr>
      <w:r>
        <w:rPr>
          <w:sz w:val="20"/>
        </w:rPr>
      </w:r>
    </w:p>
    <w:p>
      <w:pPr>
        <w:pStyle w:val="1"/>
        <w:jc w:val="both"/>
      </w:pPr>
      <w:r>
        <w:rPr>
          <w:sz w:val="20"/>
        </w:rPr>
        <w:t xml:space="preserve">Фамилия ___________________________________________________________________</w:t>
      </w:r>
    </w:p>
    <w:p>
      <w:pPr>
        <w:pStyle w:val="1"/>
        <w:jc w:val="both"/>
      </w:pPr>
      <w:r>
        <w:rPr>
          <w:sz w:val="20"/>
        </w:rPr>
        <w:t xml:space="preserve">Имя ________________________ Отчество (при наличии) _______________________</w:t>
      </w:r>
    </w:p>
    <w:p>
      <w:pPr>
        <w:pStyle w:val="1"/>
        <w:jc w:val="both"/>
      </w:pPr>
      <w:r>
        <w:rPr>
          <w:sz w:val="20"/>
        </w:rPr>
        <w:t xml:space="preserve">Год рождения ______ Должность _____________________________________________</w:t>
      </w:r>
    </w:p>
    <w:p>
      <w:pPr>
        <w:pStyle w:val="1"/>
        <w:jc w:val="both"/>
      </w:pPr>
      <w:r>
        <w:rPr>
          <w:sz w:val="20"/>
        </w:rPr>
        <w:t xml:space="preserve">Тип воздушного судна ______________________________________________________</w:t>
      </w:r>
    </w:p>
    <w:p>
      <w:pPr>
        <w:pStyle w:val="1"/>
        <w:jc w:val="both"/>
      </w:pPr>
      <w:r>
        <w:rPr>
          <w:sz w:val="20"/>
        </w:rPr>
        <w:t xml:space="preserve">Авиапредприятие ___________________________________________________________</w:t>
      </w:r>
    </w:p>
    <w:p>
      <w:pPr>
        <w:pStyle w:val="1"/>
        <w:jc w:val="both"/>
      </w:pPr>
      <w:r>
        <w:rPr>
          <w:sz w:val="20"/>
        </w:rPr>
        <w:t xml:space="preserve">Домашний адрес ____________________________________________________________</w:t>
      </w:r>
    </w:p>
    <w:p>
      <w:pPr>
        <w:pStyle w:val="1"/>
        <w:jc w:val="both"/>
      </w:pPr>
      <w:r>
        <w:rPr>
          <w:sz w:val="20"/>
        </w:rPr>
        <w:t xml:space="preserve">Медицинский эксперт - председатель ________________________________________</w:t>
      </w:r>
    </w:p>
    <w:p>
      <w:pPr>
        <w:pStyle w:val="1"/>
        <w:jc w:val="both"/>
      </w:pPr>
      <w:r>
        <w:rPr>
          <w:sz w:val="20"/>
        </w:rPr>
        <w:t xml:space="preserve">Направляется лично (медицинская документация)</w:t>
      </w:r>
    </w:p>
    <w:p>
      <w:pPr>
        <w:pStyle w:val="1"/>
        <w:jc w:val="both"/>
      </w:pPr>
      <w:r>
        <w:rPr>
          <w:sz w:val="20"/>
        </w:rPr>
        <w:t xml:space="preserve">___________________________________________________________________________</w:t>
      </w:r>
    </w:p>
    <w:p>
      <w:pPr>
        <w:pStyle w:val="1"/>
        <w:jc w:val="both"/>
      </w:pPr>
      <w:r>
        <w:rPr>
          <w:sz w:val="20"/>
        </w:rPr>
        <w:t xml:space="preserve">                                  (куда)</w:t>
      </w:r>
    </w:p>
    <w:p>
      <w:pPr>
        <w:pStyle w:val="1"/>
        <w:jc w:val="both"/>
      </w:pPr>
      <w:r>
        <w:rPr>
          <w:sz w:val="20"/>
        </w:rPr>
        <w:t xml:space="preserve">Цель направления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Диагноз 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Медицинское    заключение     последнего     освидетельствования    ВЛЭК ГА</w:t>
      </w:r>
    </w:p>
    <w:p>
      <w:pPr>
        <w:pStyle w:val="1"/>
        <w:jc w:val="both"/>
      </w:pPr>
      <w:r>
        <w:rPr>
          <w:sz w:val="20"/>
        </w:rPr>
        <w:t xml:space="preserve">от "__" __________ ____ г.</w:t>
      </w:r>
    </w:p>
    <w:p>
      <w:pPr>
        <w:pStyle w:val="1"/>
        <w:jc w:val="both"/>
      </w:pPr>
      <w:r>
        <w:rPr>
          <w:sz w:val="20"/>
        </w:rPr>
      </w:r>
    </w:p>
    <w:p>
      <w:pPr>
        <w:pStyle w:val="1"/>
        <w:jc w:val="both"/>
      </w:pPr>
      <w:r>
        <w:rPr>
          <w:sz w:val="20"/>
        </w:rPr>
        <w:t xml:space="preserve">Приложение: 1. Личное дело в __________ экз. на __________ л.</w:t>
      </w:r>
    </w:p>
    <w:p>
      <w:pPr>
        <w:pStyle w:val="1"/>
        <w:jc w:val="both"/>
      </w:pPr>
      <w:r>
        <w:rPr>
          <w:sz w:val="20"/>
        </w:rPr>
        <w:t xml:space="preserve">            2. Медицинские карты, книжки в количестве __________.</w:t>
      </w:r>
    </w:p>
    <w:p>
      <w:pPr>
        <w:pStyle w:val="1"/>
        <w:jc w:val="both"/>
      </w:pPr>
      <w:r>
        <w:rPr>
          <w:sz w:val="20"/>
        </w:rPr>
        <w:t xml:space="preserve">            3. Выписки, консультативные листы и другая медицинская</w:t>
      </w:r>
    </w:p>
    <w:p>
      <w:pPr>
        <w:pStyle w:val="1"/>
        <w:jc w:val="both"/>
      </w:pPr>
      <w:r>
        <w:rPr>
          <w:sz w:val="20"/>
        </w:rPr>
        <w:t xml:space="preserve">            документация в __________ экз. на __________ л.</w:t>
      </w:r>
    </w:p>
    <w:p>
      <w:pPr>
        <w:pStyle w:val="1"/>
        <w:jc w:val="both"/>
      </w:pPr>
      <w:r>
        <w:rPr>
          <w:sz w:val="20"/>
        </w:rPr>
        <w:t xml:space="preserve">            ЭКГ-пленки _________________________________ шт.</w:t>
      </w:r>
    </w:p>
    <w:p>
      <w:pPr>
        <w:pStyle w:val="1"/>
        <w:jc w:val="both"/>
      </w:pPr>
      <w:r>
        <w:rPr>
          <w:sz w:val="20"/>
        </w:rPr>
        <w:t xml:space="preserve">            ________________________________________________</w:t>
      </w:r>
    </w:p>
    <w:p>
      <w:pPr>
        <w:pStyle w:val="1"/>
        <w:jc w:val="both"/>
      </w:pPr>
      <w:r>
        <w:rPr>
          <w:sz w:val="20"/>
        </w:rPr>
      </w:r>
    </w:p>
    <w:p>
      <w:pPr>
        <w:pStyle w:val="1"/>
        <w:jc w:val="both"/>
      </w:pPr>
      <w:r>
        <w:rPr>
          <w:sz w:val="20"/>
        </w:rPr>
        <w:t xml:space="preserve">Подпись медицинского эксперта - председателя ______________________________</w:t>
      </w:r>
    </w:p>
    <w:p>
      <w:pPr>
        <w:pStyle w:val="1"/>
        <w:jc w:val="both"/>
      </w:pPr>
      <w:r>
        <w:rPr>
          <w:sz w:val="20"/>
        </w:rPr>
        <w:t xml:space="preserve">                                               (должность, фамилия, имя,</w:t>
      </w:r>
    </w:p>
    <w:p>
      <w:pPr>
        <w:pStyle w:val="1"/>
        <w:jc w:val="both"/>
      </w:pPr>
      <w:r>
        <w:rPr>
          <w:sz w:val="20"/>
        </w:rPr>
        <w:t xml:space="preserve">                                                 отчество (при наличии)</w:t>
      </w:r>
    </w:p>
    <w:p>
      <w:pPr>
        <w:pStyle w:val="1"/>
        <w:jc w:val="both"/>
      </w:pPr>
      <w:r>
        <w:rPr>
          <w:sz w:val="20"/>
        </w:rPr>
        <w:t xml:space="preserve">"__" __________ ____ г.</w:t>
      </w:r>
    </w:p>
    <w:p>
      <w:pPr>
        <w:pStyle w:val="1"/>
        <w:jc w:val="both"/>
      </w:pPr>
      <w:r>
        <w:rPr>
          <w:sz w:val="20"/>
        </w:rPr>
      </w:r>
    </w:p>
    <w:p>
      <w:pPr>
        <w:pStyle w:val="1"/>
        <w:jc w:val="both"/>
      </w:pPr>
      <w:r>
        <w:rPr>
          <w:sz w:val="20"/>
        </w:rPr>
        <w:t xml:space="preserve">Данные консультации (решение о госпитализации)</w:t>
      </w:r>
    </w:p>
    <w:p>
      <w:pPr>
        <w:pStyle w:val="1"/>
        <w:jc w:val="both"/>
      </w:pPr>
      <w:r>
        <w:rPr>
          <w:sz w:val="20"/>
        </w:rPr>
      </w:r>
    </w:p>
    <w:p>
      <w:pPr>
        <w:pStyle w:val="1"/>
        <w:jc w:val="both"/>
      </w:pPr>
      <w:r>
        <w:rPr>
          <w:sz w:val="20"/>
        </w:rPr>
        <w:t xml:space="preserve">Подпись ___________________________________________________________________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"__" __________ ____ г.</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Порядку</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192" w:name="P4192"/>
    <w:bookmarkEnd w:id="4192"/>
    <w:p>
      <w:pPr>
        <w:pStyle w:val="1"/>
        <w:jc w:val="both"/>
      </w:pPr>
      <w:r>
        <w:rPr>
          <w:sz w:val="20"/>
        </w:rPr>
        <w:t xml:space="preserve">                 Медицинская карта авиационного персонала</w:t>
      </w:r>
    </w:p>
    <w:p>
      <w:pPr>
        <w:pStyle w:val="1"/>
        <w:jc w:val="both"/>
      </w:pPr>
      <w:r>
        <w:rPr>
          <w:sz w:val="20"/>
        </w:rPr>
      </w:r>
    </w:p>
    <w:p>
      <w:pPr>
        <w:pStyle w:val="1"/>
        <w:jc w:val="both"/>
      </w:pPr>
      <w:r>
        <w:rPr>
          <w:sz w:val="20"/>
        </w:rPr>
        <w:t xml:space="preserve">                                                                 Фотография</w:t>
      </w:r>
    </w:p>
    <w:p>
      <w:pPr>
        <w:pStyle w:val="1"/>
        <w:jc w:val="both"/>
      </w:pPr>
      <w:r>
        <w:rPr>
          <w:sz w:val="20"/>
        </w:rPr>
      </w:r>
    </w:p>
    <w:p>
      <w:pPr>
        <w:pStyle w:val="1"/>
        <w:jc w:val="both"/>
      </w:pPr>
      <w:r>
        <w:rPr>
          <w:sz w:val="20"/>
        </w:rPr>
        <w:t xml:space="preserve">                                                  Печать ВЛЭК ГА (ЦВЛЭК ГА)</w:t>
      </w:r>
    </w:p>
    <w:p>
      <w:pPr>
        <w:pStyle w:val="1"/>
        <w:jc w:val="both"/>
      </w:pPr>
      <w:r>
        <w:rPr>
          <w:sz w:val="20"/>
        </w:rPr>
      </w:r>
    </w:p>
    <w:p>
      <w:pPr>
        <w:pStyle w:val="1"/>
        <w:jc w:val="both"/>
      </w:pPr>
      <w:r>
        <w:rPr>
          <w:sz w:val="20"/>
        </w:rPr>
        <w:t xml:space="preserve">Наименование авиапредприятия, образовательной организации _________________</w:t>
      </w:r>
    </w:p>
    <w:p>
      <w:pPr>
        <w:pStyle w:val="1"/>
        <w:jc w:val="both"/>
      </w:pPr>
      <w:r>
        <w:rPr>
          <w:sz w:val="20"/>
        </w:rPr>
        <w:t xml:space="preserve">___________________________________________________________________________</w:t>
      </w:r>
    </w:p>
    <w:p>
      <w:pPr>
        <w:pStyle w:val="1"/>
        <w:jc w:val="both"/>
      </w:pPr>
      <w:r>
        <w:rPr>
          <w:sz w:val="20"/>
        </w:rPr>
        <w:t xml:space="preserve">Группа крови, резус-фактор ________________________________________________</w:t>
      </w:r>
    </w:p>
    <w:p>
      <w:pPr>
        <w:pStyle w:val="1"/>
        <w:jc w:val="both"/>
      </w:pPr>
      <w:r>
        <w:rPr>
          <w:sz w:val="20"/>
        </w:rPr>
        <w:t xml:space="preserve">Фамилия, имя, отчество (при наличии) ______________________________________</w:t>
      </w:r>
    </w:p>
    <w:p>
      <w:pPr>
        <w:pStyle w:val="1"/>
        <w:jc w:val="both"/>
      </w:pPr>
      <w:r>
        <w:rPr>
          <w:sz w:val="20"/>
        </w:rPr>
        <w:t xml:space="preserve">Дата, год рождения ________________________________________________________</w:t>
      </w:r>
    </w:p>
    <w:p>
      <w:pPr>
        <w:pStyle w:val="1"/>
        <w:jc w:val="both"/>
      </w:pPr>
      <w:r>
        <w:rPr>
          <w:sz w:val="20"/>
        </w:rPr>
        <w:t xml:space="preserve">Национальность ____________________________________________________________</w:t>
      </w:r>
    </w:p>
    <w:p>
      <w:pPr>
        <w:pStyle w:val="1"/>
        <w:jc w:val="both"/>
      </w:pPr>
      <w:r>
        <w:rPr>
          <w:sz w:val="20"/>
        </w:rPr>
        <w:t xml:space="preserve">Образование _______________________________________________________________</w:t>
      </w:r>
    </w:p>
    <w:p>
      <w:pPr>
        <w:pStyle w:val="1"/>
        <w:jc w:val="both"/>
      </w:pPr>
      <w:r>
        <w:rPr>
          <w:sz w:val="20"/>
        </w:rPr>
        <w:t xml:space="preserve">                       (какое учебное заведение, когда окончил)</w:t>
      </w:r>
    </w:p>
    <w:p>
      <w:pPr>
        <w:pStyle w:val="1"/>
        <w:jc w:val="both"/>
      </w:pPr>
      <w:r>
        <w:rPr>
          <w:sz w:val="20"/>
        </w:rPr>
        <w:t xml:space="preserve">Летная работа в ГА ________________________________________________________</w:t>
      </w:r>
    </w:p>
    <w:p>
      <w:pPr>
        <w:pStyle w:val="1"/>
        <w:jc w:val="both"/>
      </w:pPr>
      <w:r>
        <w:rPr>
          <w:sz w:val="20"/>
        </w:rPr>
        <w:t xml:space="preserve">                                    (где, с какого года)</w:t>
      </w:r>
    </w:p>
    <w:p>
      <w:pPr>
        <w:pStyle w:val="1"/>
        <w:jc w:val="both"/>
      </w:pPr>
      <w:r>
        <w:rPr>
          <w:sz w:val="20"/>
        </w:rPr>
        <w:t xml:space="preserve">Домашний адрес (телефон)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Номер и адрес районной поликлиники (телефон) 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Дата заполнения книжки ____________________________________________________</w:t>
      </w:r>
    </w:p>
    <w:p>
      <w:pPr>
        <w:pStyle w:val="1"/>
        <w:jc w:val="both"/>
      </w:pPr>
      <w:r>
        <w:rPr>
          <w:sz w:val="20"/>
        </w:rPr>
        <w:t xml:space="preserve">Дата окончания книжки _____________________________________________________</w:t>
      </w:r>
    </w:p>
    <w:p>
      <w:pPr>
        <w:pStyle w:val="1"/>
        <w:jc w:val="both"/>
      </w:pPr>
      <w:r>
        <w:rPr>
          <w:sz w:val="20"/>
        </w:rPr>
      </w:r>
    </w:p>
    <w:p>
      <w:pPr>
        <w:pStyle w:val="1"/>
        <w:jc w:val="both"/>
      </w:pPr>
      <w:r>
        <w:rPr>
          <w:sz w:val="20"/>
        </w:rPr>
        <w:t xml:space="preserve">Лист уточненных диагнозов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3"/>
        <w:gridCol w:w="3571"/>
        <w:gridCol w:w="2381"/>
        <w:gridCol w:w="1984"/>
      </w:tblGrid>
      <w:tr>
        <w:tc>
          <w:tcPr>
            <w:tcW w:w="1133" w:type="dxa"/>
          </w:tcPr>
          <w:p>
            <w:pPr>
              <w:pStyle w:val="0"/>
              <w:jc w:val="center"/>
            </w:pPr>
            <w:r>
              <w:rPr>
                <w:sz w:val="20"/>
              </w:rPr>
              <w:t xml:space="preserve">Дата</w:t>
            </w:r>
          </w:p>
        </w:tc>
        <w:tc>
          <w:tcPr>
            <w:tcW w:w="3571" w:type="dxa"/>
          </w:tcPr>
          <w:p>
            <w:pPr>
              <w:pStyle w:val="0"/>
              <w:jc w:val="center"/>
            </w:pPr>
            <w:r>
              <w:rPr>
                <w:sz w:val="20"/>
              </w:rPr>
              <w:t xml:space="preserve">Уточненный диагноз</w:t>
            </w:r>
          </w:p>
        </w:tc>
        <w:tc>
          <w:tcPr>
            <w:tcW w:w="2381" w:type="dxa"/>
          </w:tcPr>
          <w:p>
            <w:pPr>
              <w:pStyle w:val="0"/>
              <w:jc w:val="center"/>
            </w:pPr>
            <w:r>
              <w:rPr>
                <w:sz w:val="20"/>
              </w:rPr>
              <w:t xml:space="preserve">Впервые в жизни установленный диагноз (отметить знаком "+")</w:t>
            </w:r>
          </w:p>
        </w:tc>
        <w:tc>
          <w:tcPr>
            <w:tcW w:w="1984" w:type="dxa"/>
          </w:tcPr>
          <w:p>
            <w:pPr>
              <w:pStyle w:val="0"/>
              <w:jc w:val="center"/>
            </w:pPr>
            <w:r>
              <w:rPr>
                <w:sz w:val="20"/>
              </w:rPr>
              <w:t xml:space="preserve">Фамилия врача и подпись</w:t>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r>
        <w:tc>
          <w:tcPr>
            <w:tcW w:w="1133" w:type="dxa"/>
          </w:tcPr>
          <w:p>
            <w:pPr>
              <w:pStyle w:val="0"/>
            </w:pPr>
            <w:r>
              <w:rPr>
                <w:sz w:val="20"/>
              </w:rPr>
            </w:r>
          </w:p>
        </w:tc>
        <w:tc>
          <w:tcPr>
            <w:tcW w:w="3571" w:type="dxa"/>
          </w:tcPr>
          <w:p>
            <w:pPr>
              <w:pStyle w:val="0"/>
            </w:pPr>
            <w:r>
              <w:rPr>
                <w:sz w:val="20"/>
              </w:rPr>
            </w:r>
          </w:p>
        </w:tc>
        <w:tc>
          <w:tcPr>
            <w:tcW w:w="2381" w:type="dxa"/>
          </w:tcPr>
          <w:p>
            <w:pPr>
              <w:pStyle w:val="0"/>
            </w:pPr>
            <w:r>
              <w:rPr>
                <w:sz w:val="20"/>
              </w:rPr>
            </w:r>
          </w:p>
        </w:tc>
        <w:tc>
          <w:tcPr>
            <w:tcW w:w="1984" w:type="dxa"/>
          </w:tcPr>
          <w:p>
            <w:pPr>
              <w:pStyle w:val="0"/>
            </w:pPr>
            <w:r>
              <w:rPr>
                <w:sz w:val="20"/>
              </w:rPr>
            </w:r>
          </w:p>
        </w:tc>
      </w:tr>
    </w:tbl>
    <w:p>
      <w:pPr>
        <w:pStyle w:val="0"/>
        <w:jc w:val="both"/>
      </w:pPr>
      <w:r>
        <w:rPr>
          <w:sz w:val="20"/>
        </w:rPr>
      </w:r>
    </w:p>
    <w:p>
      <w:pPr>
        <w:pStyle w:val="1"/>
        <w:jc w:val="both"/>
      </w:pPr>
      <w:r>
        <w:rPr>
          <w:sz w:val="20"/>
        </w:rPr>
        <w:t xml:space="preserve">Общий анамнез</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5385"/>
      </w:tblGrid>
      <w:tr>
        <w:tc>
          <w:tcPr>
            <w:tcW w:w="3685" w:type="dxa"/>
          </w:tcPr>
          <w:p>
            <w:pPr>
              <w:pStyle w:val="0"/>
              <w:jc w:val="both"/>
            </w:pPr>
            <w:r>
              <w:rPr>
                <w:sz w:val="20"/>
              </w:rPr>
              <w:t xml:space="preserve">1. Наследственность</w:t>
            </w:r>
          </w:p>
        </w:tc>
        <w:tc>
          <w:tcPr>
            <w:tcW w:w="5385" w:type="dxa"/>
          </w:tcPr>
          <w:p>
            <w:pPr>
              <w:pStyle w:val="0"/>
            </w:pPr>
            <w:r>
              <w:rPr>
                <w:sz w:val="20"/>
              </w:rPr>
            </w:r>
          </w:p>
        </w:tc>
      </w:tr>
      <w:tr>
        <w:tc>
          <w:tcPr>
            <w:tcW w:w="3685" w:type="dxa"/>
          </w:tcPr>
          <w:p>
            <w:pPr>
              <w:pStyle w:val="0"/>
              <w:jc w:val="both"/>
            </w:pPr>
            <w:r>
              <w:rPr>
                <w:sz w:val="20"/>
              </w:rPr>
              <w:t xml:space="preserve">2. Перенесенные заболевания (какие, в каком возрасте)</w:t>
            </w:r>
          </w:p>
        </w:tc>
        <w:tc>
          <w:tcPr>
            <w:tcW w:w="5385" w:type="dxa"/>
          </w:tcPr>
          <w:p>
            <w:pPr>
              <w:pStyle w:val="0"/>
            </w:pPr>
            <w:r>
              <w:rPr>
                <w:sz w:val="20"/>
              </w:rPr>
            </w:r>
          </w:p>
        </w:tc>
      </w:tr>
      <w:tr>
        <w:tc>
          <w:tcPr>
            <w:tcW w:w="3685" w:type="dxa"/>
          </w:tcPr>
          <w:p>
            <w:pPr>
              <w:pStyle w:val="0"/>
              <w:jc w:val="both"/>
            </w:pPr>
            <w:r>
              <w:rPr>
                <w:sz w:val="20"/>
              </w:rPr>
              <w:t xml:space="preserve">3. Аллергия (нет, есть - указать к каким веществам, как проявляется)</w:t>
            </w:r>
          </w:p>
        </w:tc>
        <w:tc>
          <w:tcPr>
            <w:tcW w:w="5385" w:type="dxa"/>
          </w:tcPr>
          <w:p>
            <w:pPr>
              <w:pStyle w:val="0"/>
            </w:pPr>
            <w:r>
              <w:rPr>
                <w:sz w:val="20"/>
              </w:rPr>
            </w:r>
          </w:p>
        </w:tc>
      </w:tr>
      <w:tr>
        <w:tc>
          <w:tcPr>
            <w:tcW w:w="3685" w:type="dxa"/>
          </w:tcPr>
          <w:p>
            <w:pPr>
              <w:pStyle w:val="0"/>
              <w:jc w:val="both"/>
            </w:pPr>
            <w:r>
              <w:rPr>
                <w:sz w:val="20"/>
              </w:rPr>
              <w:t xml:space="preserve">4. Обмороки, судорожные припадки, потери сознания (не было, были - когда)</w:t>
            </w:r>
          </w:p>
        </w:tc>
        <w:tc>
          <w:tcPr>
            <w:tcW w:w="5385" w:type="dxa"/>
          </w:tcPr>
          <w:p>
            <w:pPr>
              <w:pStyle w:val="0"/>
            </w:pPr>
            <w:r>
              <w:rPr>
                <w:sz w:val="20"/>
              </w:rPr>
            </w:r>
          </w:p>
        </w:tc>
      </w:tr>
      <w:tr>
        <w:tc>
          <w:tcPr>
            <w:tcW w:w="3685" w:type="dxa"/>
          </w:tcPr>
          <w:p>
            <w:pPr>
              <w:pStyle w:val="0"/>
              <w:jc w:val="both"/>
            </w:pPr>
            <w:r>
              <w:rPr>
                <w:sz w:val="20"/>
              </w:rPr>
              <w:t xml:space="preserve">5. Травмы, операции (не было, были - когда, локализация, характер, длительность лечения, последствия)</w:t>
            </w:r>
          </w:p>
        </w:tc>
        <w:tc>
          <w:tcPr>
            <w:tcW w:w="5385" w:type="dxa"/>
          </w:tcPr>
          <w:p>
            <w:pPr>
              <w:pStyle w:val="0"/>
            </w:pPr>
            <w:r>
              <w:rPr>
                <w:sz w:val="20"/>
              </w:rPr>
            </w:r>
          </w:p>
        </w:tc>
      </w:tr>
      <w:tr>
        <w:tc>
          <w:tcPr>
            <w:tcW w:w="3685" w:type="dxa"/>
          </w:tcPr>
          <w:p>
            <w:pPr>
              <w:pStyle w:val="0"/>
              <w:jc w:val="both"/>
            </w:pPr>
            <w:r>
              <w:rPr>
                <w:sz w:val="20"/>
              </w:rPr>
              <w:t xml:space="preserve">6. Психические травмы (какие, когда)</w:t>
            </w:r>
          </w:p>
        </w:tc>
        <w:tc>
          <w:tcPr>
            <w:tcW w:w="5385" w:type="dxa"/>
          </w:tcPr>
          <w:p>
            <w:pPr>
              <w:pStyle w:val="0"/>
            </w:pPr>
            <w:r>
              <w:rPr>
                <w:sz w:val="20"/>
              </w:rPr>
            </w:r>
          </w:p>
        </w:tc>
      </w:tr>
      <w:tr>
        <w:tc>
          <w:tcPr>
            <w:tcW w:w="3685" w:type="dxa"/>
          </w:tcPr>
          <w:p>
            <w:pPr>
              <w:pStyle w:val="0"/>
              <w:jc w:val="both"/>
            </w:pPr>
            <w:r>
              <w:rPr>
                <w:sz w:val="20"/>
              </w:rPr>
              <w:t xml:space="preserve">7. Были ли перерывы в летной (диспетчерской) работе (по какой причине, какой продолжительности)</w:t>
            </w:r>
          </w:p>
        </w:tc>
        <w:tc>
          <w:tcPr>
            <w:tcW w:w="5385" w:type="dxa"/>
          </w:tcPr>
          <w:p>
            <w:pPr>
              <w:pStyle w:val="0"/>
            </w:pPr>
            <w:r>
              <w:rPr>
                <w:sz w:val="20"/>
              </w:rPr>
            </w:r>
          </w:p>
        </w:tc>
      </w:tr>
      <w:tr>
        <w:tc>
          <w:tcPr>
            <w:tcW w:w="3685" w:type="dxa"/>
          </w:tcPr>
          <w:p>
            <w:pPr>
              <w:pStyle w:val="0"/>
              <w:jc w:val="both"/>
            </w:pPr>
            <w:r>
              <w:rPr>
                <w:sz w:val="20"/>
              </w:rPr>
              <w:t xml:space="preserve">8. Были ли на работе контакты с токсическими веществами, вредными производственными факторами (какими, на какой работе, когда)</w:t>
            </w:r>
          </w:p>
        </w:tc>
        <w:tc>
          <w:tcPr>
            <w:tcW w:w="5385" w:type="dxa"/>
          </w:tcPr>
          <w:p>
            <w:pPr>
              <w:pStyle w:val="0"/>
            </w:pPr>
            <w:r>
              <w:rPr>
                <w:sz w:val="20"/>
              </w:rPr>
            </w:r>
          </w:p>
        </w:tc>
      </w:tr>
      <w:tr>
        <w:tc>
          <w:tcPr>
            <w:tcW w:w="3685" w:type="dxa"/>
          </w:tcPr>
          <w:p>
            <w:pPr>
              <w:pStyle w:val="0"/>
              <w:jc w:val="both"/>
            </w:pPr>
            <w:r>
              <w:rPr>
                <w:sz w:val="20"/>
              </w:rPr>
              <w:t xml:space="preserve">9. Вредные привычки</w:t>
            </w:r>
          </w:p>
        </w:tc>
        <w:tc>
          <w:tcPr>
            <w:tcW w:w="5385" w:type="dxa"/>
          </w:tcPr>
          <w:p>
            <w:pPr>
              <w:pStyle w:val="0"/>
            </w:pPr>
            <w:r>
              <w:rPr>
                <w:sz w:val="20"/>
              </w:rPr>
            </w:r>
          </w:p>
        </w:tc>
      </w:tr>
      <w:tr>
        <w:tc>
          <w:tcPr>
            <w:tcW w:w="3685" w:type="dxa"/>
          </w:tcPr>
          <w:p>
            <w:pPr>
              <w:pStyle w:val="0"/>
              <w:jc w:val="both"/>
            </w:pPr>
            <w:r>
              <w:rPr>
                <w:sz w:val="20"/>
              </w:rPr>
              <w:t xml:space="preserve">10. Занятия физкультурой, спортом</w:t>
            </w:r>
          </w:p>
        </w:tc>
        <w:tc>
          <w:tcPr>
            <w:tcW w:w="5385" w:type="dxa"/>
          </w:tcPr>
          <w:p>
            <w:pPr>
              <w:pStyle w:val="0"/>
            </w:pPr>
            <w:r>
              <w:rPr>
                <w:sz w:val="20"/>
              </w:rPr>
            </w:r>
          </w:p>
        </w:tc>
      </w:tr>
      <w:tr>
        <w:tc>
          <w:tcPr>
            <w:tcW w:w="3685" w:type="dxa"/>
          </w:tcPr>
          <w:p>
            <w:pPr>
              <w:pStyle w:val="0"/>
              <w:jc w:val="both"/>
            </w:pPr>
            <w:r>
              <w:rPr>
                <w:sz w:val="20"/>
              </w:rPr>
              <w:t xml:space="preserve">Личная подпись</w:t>
            </w:r>
          </w:p>
        </w:tc>
        <w:tc>
          <w:tcPr>
            <w:tcW w:w="5385" w:type="dxa"/>
          </w:tcPr>
          <w:p>
            <w:pPr>
              <w:pStyle w:val="0"/>
            </w:pPr>
            <w:r>
              <w:rPr>
                <w:sz w:val="20"/>
              </w:rPr>
            </w:r>
          </w:p>
        </w:tc>
      </w:tr>
    </w:tbl>
    <w:p>
      <w:pPr>
        <w:pStyle w:val="0"/>
        <w:jc w:val="both"/>
      </w:pPr>
      <w:r>
        <w:rPr>
          <w:sz w:val="20"/>
        </w:rPr>
      </w:r>
    </w:p>
    <w:p>
      <w:pPr>
        <w:pStyle w:val="1"/>
        <w:jc w:val="both"/>
      </w:pPr>
      <w:r>
        <w:rPr>
          <w:sz w:val="20"/>
        </w:rPr>
        <w:t xml:space="preserve">Условия  труда,  быта  и отдыха (заполняется при направлении на медицинское</w:t>
      </w:r>
    </w:p>
    <w:p>
      <w:pPr>
        <w:pStyle w:val="1"/>
        <w:jc w:val="both"/>
      </w:pPr>
      <w:r>
        <w:rPr>
          <w:sz w:val="20"/>
        </w:rPr>
        <w:t xml:space="preserve">освидетельствование ВЛЭК ГА (ЦВЛЭК ГА)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0"/>
        <w:gridCol w:w="1077"/>
        <w:gridCol w:w="1644"/>
        <w:gridCol w:w="963"/>
        <w:gridCol w:w="1303"/>
        <w:gridCol w:w="2040"/>
      </w:tblGrid>
      <w:tr>
        <w:tc>
          <w:tcPr>
            <w:tcW w:w="2040" w:type="dxa"/>
          </w:tcPr>
          <w:p>
            <w:pPr>
              <w:pStyle w:val="0"/>
              <w:jc w:val="both"/>
            </w:pPr>
            <w:r>
              <w:rPr>
                <w:sz w:val="20"/>
              </w:rPr>
              <w:t xml:space="preserve">Дата, год</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r>
        <w:tc>
          <w:tcPr>
            <w:tcW w:w="2040" w:type="dxa"/>
          </w:tcPr>
          <w:p>
            <w:pPr>
              <w:pStyle w:val="0"/>
              <w:jc w:val="both"/>
            </w:pPr>
            <w:r>
              <w:rPr>
                <w:sz w:val="20"/>
              </w:rPr>
              <w:t xml:space="preserve">Летное время за год (в часах)</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r>
        <w:tc>
          <w:tcPr>
            <w:tcW w:w="2040" w:type="dxa"/>
          </w:tcPr>
          <w:p>
            <w:pPr>
              <w:pStyle w:val="0"/>
              <w:jc w:val="both"/>
            </w:pPr>
            <w:r>
              <w:rPr>
                <w:sz w:val="20"/>
              </w:rPr>
              <w:t xml:space="preserve">Характеристики труда: особенности выполняемых рейсов (местные, внутренние, международные линии) с перечислением часовых поясов или климатических зон, было ли продление нормы летного времени (в какие месяцы), перерывы в летной работе</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r>
        <w:tc>
          <w:tcPr>
            <w:tcW w:w="2040" w:type="dxa"/>
          </w:tcPr>
          <w:p>
            <w:pPr>
              <w:pStyle w:val="0"/>
              <w:jc w:val="both"/>
            </w:pPr>
            <w:r>
              <w:rPr>
                <w:sz w:val="20"/>
              </w:rPr>
              <w:t xml:space="preserve">Время и место проведения отпуска</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r>
        <w:tc>
          <w:tcPr>
            <w:tcW w:w="2040" w:type="dxa"/>
          </w:tcPr>
          <w:p>
            <w:pPr>
              <w:pStyle w:val="0"/>
              <w:jc w:val="both"/>
            </w:pPr>
            <w:r>
              <w:rPr>
                <w:sz w:val="20"/>
              </w:rPr>
              <w:t xml:space="preserve">Жилищные условия, состав семьи</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r>
        <w:tc>
          <w:tcPr>
            <w:tcW w:w="2040" w:type="dxa"/>
          </w:tcPr>
          <w:p>
            <w:pPr>
              <w:pStyle w:val="0"/>
              <w:jc w:val="both"/>
            </w:pPr>
            <w:r>
              <w:rPr>
                <w:sz w:val="20"/>
              </w:rPr>
              <w:t xml:space="preserve">Занятия физкультурой</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r>
        <w:tc>
          <w:tcPr>
            <w:tcW w:w="2040" w:type="dxa"/>
          </w:tcPr>
          <w:p>
            <w:pPr>
              <w:pStyle w:val="0"/>
              <w:jc w:val="both"/>
            </w:pPr>
            <w:r>
              <w:rPr>
                <w:sz w:val="20"/>
              </w:rPr>
              <w:t xml:space="preserve">Вредные привычки</w:t>
            </w:r>
          </w:p>
        </w:tc>
        <w:tc>
          <w:tcPr>
            <w:tcW w:w="1077" w:type="dxa"/>
          </w:tcPr>
          <w:p>
            <w:pPr>
              <w:pStyle w:val="0"/>
            </w:pPr>
            <w:r>
              <w:rPr>
                <w:sz w:val="20"/>
              </w:rPr>
            </w:r>
          </w:p>
        </w:tc>
        <w:tc>
          <w:tcPr>
            <w:tcW w:w="1644" w:type="dxa"/>
          </w:tcPr>
          <w:p>
            <w:pPr>
              <w:pStyle w:val="0"/>
            </w:pPr>
            <w:r>
              <w:rPr>
                <w:sz w:val="20"/>
              </w:rPr>
            </w:r>
          </w:p>
        </w:tc>
        <w:tc>
          <w:tcPr>
            <w:tcW w:w="963" w:type="dxa"/>
          </w:tcPr>
          <w:p>
            <w:pPr>
              <w:pStyle w:val="0"/>
            </w:pPr>
            <w:r>
              <w:rPr>
                <w:sz w:val="20"/>
              </w:rPr>
            </w:r>
          </w:p>
        </w:tc>
        <w:tc>
          <w:tcPr>
            <w:tcW w:w="1303" w:type="dxa"/>
          </w:tcPr>
          <w:p>
            <w:pPr>
              <w:pStyle w:val="0"/>
            </w:pPr>
            <w:r>
              <w:rPr>
                <w:sz w:val="20"/>
              </w:rPr>
            </w:r>
          </w:p>
        </w:tc>
        <w:tc>
          <w:tcPr>
            <w:tcW w:w="2040" w:type="dxa"/>
          </w:tcPr>
          <w:p>
            <w:pPr>
              <w:pStyle w:val="0"/>
            </w:pPr>
            <w:r>
              <w:rPr>
                <w:sz w:val="20"/>
              </w:rPr>
            </w:r>
          </w:p>
        </w:tc>
      </w:tr>
    </w:tbl>
    <w:p>
      <w:pPr>
        <w:pStyle w:val="0"/>
        <w:jc w:val="both"/>
      </w:pPr>
      <w:r>
        <w:rPr>
          <w:sz w:val="20"/>
        </w:rPr>
      </w:r>
    </w:p>
    <w:p>
      <w:pPr>
        <w:pStyle w:val="1"/>
        <w:jc w:val="both"/>
      </w:pPr>
      <w:r>
        <w:rPr>
          <w:sz w:val="20"/>
        </w:rPr>
        <w:t xml:space="preserve">Профилактические прививки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2210"/>
        <w:gridCol w:w="1644"/>
        <w:gridCol w:w="1644"/>
        <w:gridCol w:w="2437"/>
      </w:tblGrid>
      <w:tr>
        <w:tc>
          <w:tcPr>
            <w:tcW w:w="1134" w:type="dxa"/>
          </w:tcPr>
          <w:p>
            <w:pPr>
              <w:pStyle w:val="0"/>
              <w:jc w:val="center"/>
            </w:pPr>
            <w:r>
              <w:rPr>
                <w:sz w:val="20"/>
              </w:rPr>
              <w:t xml:space="preserve">Дата</w:t>
            </w:r>
          </w:p>
        </w:tc>
        <w:tc>
          <w:tcPr>
            <w:tcW w:w="2210" w:type="dxa"/>
          </w:tcPr>
          <w:p>
            <w:pPr>
              <w:pStyle w:val="0"/>
              <w:jc w:val="center"/>
            </w:pPr>
            <w:r>
              <w:rPr>
                <w:sz w:val="20"/>
              </w:rPr>
              <w:t xml:space="preserve">Наименование</w:t>
            </w:r>
          </w:p>
        </w:tc>
        <w:tc>
          <w:tcPr>
            <w:tcW w:w="1644" w:type="dxa"/>
          </w:tcPr>
          <w:p>
            <w:pPr>
              <w:pStyle w:val="0"/>
              <w:jc w:val="center"/>
            </w:pPr>
            <w:r>
              <w:rPr>
                <w:sz w:val="20"/>
              </w:rPr>
              <w:t xml:space="preserve">Доза, серия препарата</w:t>
            </w:r>
          </w:p>
        </w:tc>
        <w:tc>
          <w:tcPr>
            <w:tcW w:w="1644" w:type="dxa"/>
          </w:tcPr>
          <w:p>
            <w:pPr>
              <w:pStyle w:val="0"/>
              <w:jc w:val="center"/>
            </w:pPr>
            <w:r>
              <w:rPr>
                <w:sz w:val="20"/>
              </w:rPr>
              <w:t xml:space="preserve">Должность, фамилия медицинского работника</w:t>
            </w:r>
          </w:p>
        </w:tc>
        <w:tc>
          <w:tcPr>
            <w:tcW w:w="2437" w:type="dxa"/>
          </w:tcPr>
          <w:p>
            <w:pPr>
              <w:pStyle w:val="0"/>
              <w:jc w:val="center"/>
            </w:pPr>
            <w:r>
              <w:rPr>
                <w:sz w:val="20"/>
              </w:rPr>
              <w:t xml:space="preserve">Реакция на прививку</w:t>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r>
        <w:tc>
          <w:tcPr>
            <w:tcW w:w="1134" w:type="dxa"/>
          </w:tcPr>
          <w:p>
            <w:pPr>
              <w:pStyle w:val="0"/>
            </w:pPr>
            <w:r>
              <w:rPr>
                <w:sz w:val="20"/>
              </w:rPr>
            </w:r>
          </w:p>
        </w:tc>
        <w:tc>
          <w:tcPr>
            <w:tcW w:w="2210" w:type="dxa"/>
          </w:tcPr>
          <w:p>
            <w:pPr>
              <w:pStyle w:val="0"/>
            </w:pPr>
            <w:r>
              <w:rPr>
                <w:sz w:val="20"/>
              </w:rPr>
            </w:r>
          </w:p>
        </w:tc>
        <w:tc>
          <w:tcPr>
            <w:tcW w:w="1644" w:type="dxa"/>
          </w:tcPr>
          <w:p>
            <w:pPr>
              <w:pStyle w:val="0"/>
            </w:pPr>
            <w:r>
              <w:rPr>
                <w:sz w:val="20"/>
              </w:rPr>
            </w:r>
          </w:p>
        </w:tc>
        <w:tc>
          <w:tcPr>
            <w:tcW w:w="1644" w:type="dxa"/>
          </w:tcPr>
          <w:p>
            <w:pPr>
              <w:pStyle w:val="0"/>
            </w:pPr>
            <w:r>
              <w:rPr>
                <w:sz w:val="20"/>
              </w:rPr>
            </w:r>
          </w:p>
        </w:tc>
        <w:tc>
          <w:tcPr>
            <w:tcW w:w="2437" w:type="dxa"/>
          </w:tcPr>
          <w:p>
            <w:pPr>
              <w:pStyle w:val="0"/>
            </w:pPr>
            <w:r>
              <w:rPr>
                <w:sz w:val="20"/>
              </w:rPr>
            </w:r>
          </w:p>
        </w:tc>
      </w:tr>
    </w:tbl>
    <w:p>
      <w:pPr>
        <w:pStyle w:val="0"/>
        <w:jc w:val="both"/>
      </w:pPr>
      <w:r>
        <w:rPr>
          <w:sz w:val="20"/>
        </w:rPr>
      </w:r>
    </w:p>
    <w:p>
      <w:pPr>
        <w:pStyle w:val="1"/>
        <w:jc w:val="both"/>
      </w:pPr>
      <w:r>
        <w:rPr>
          <w:sz w:val="20"/>
        </w:rPr>
        <w:t xml:space="preserve">1. Заключение ВЛЭК ГА/ЦВЛЭК ГА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34"/>
        <w:gridCol w:w="7937"/>
      </w:tblGrid>
      <w:tr>
        <w:tblPrEx>
          <w:tblBorders>
            <w:insideH w:val="single" w:sz="4"/>
          </w:tblBorders>
        </w:tblPrEx>
        <w:tc>
          <w:tcPr>
            <w:tcW w:w="1134" w:type="dxa"/>
            <w:tcBorders>
              <w:top w:val="single" w:sz="4"/>
              <w:bottom w:val="single" w:sz="4"/>
            </w:tcBorders>
          </w:tcPr>
          <w:p>
            <w:pPr>
              <w:pStyle w:val="0"/>
              <w:jc w:val="center"/>
            </w:pPr>
            <w:r>
              <w:rPr>
                <w:sz w:val="20"/>
              </w:rPr>
              <w:t xml:space="preserve">Дата</w:t>
            </w:r>
          </w:p>
        </w:tc>
        <w:tc>
          <w:tcPr>
            <w:tcW w:w="7937" w:type="dxa"/>
            <w:tcBorders>
              <w:top w:val="single" w:sz="4"/>
              <w:bottom w:val="single" w:sz="4"/>
            </w:tcBorders>
          </w:tcPr>
          <w:p>
            <w:pPr>
              <w:pStyle w:val="0"/>
              <w:jc w:val="center"/>
            </w:pPr>
            <w:r>
              <w:rPr>
                <w:sz w:val="20"/>
              </w:rPr>
              <w:t xml:space="preserve">Заключение</w:t>
            </w:r>
          </w:p>
        </w:tc>
      </w:tr>
      <w:tr>
        <w:tc>
          <w:tcPr>
            <w:tcW w:w="1134" w:type="dxa"/>
            <w:tcBorders>
              <w:top w:val="single" w:sz="4"/>
              <w:bottom w:val="nil"/>
            </w:tcBorders>
          </w:tcPr>
          <w:p>
            <w:pPr>
              <w:pStyle w:val="0"/>
            </w:pPr>
            <w:r>
              <w:rPr>
                <w:sz w:val="20"/>
              </w:rPr>
            </w:r>
          </w:p>
        </w:tc>
        <w:tc>
          <w:tcPr>
            <w:tcW w:w="7937" w:type="dxa"/>
            <w:tcBorders>
              <w:top w:val="single" w:sz="4"/>
              <w:bottom w:val="nil"/>
            </w:tcBorders>
          </w:tcPr>
          <w:p>
            <w:pPr>
              <w:pStyle w:val="0"/>
            </w:pPr>
            <w:r>
              <w:rPr>
                <w:sz w:val="20"/>
              </w:rPr>
            </w:r>
          </w:p>
        </w:tc>
      </w:tr>
      <w:tr>
        <w:tc>
          <w:tcPr>
            <w:tcW w:w="1134" w:type="dxa"/>
            <w:tcBorders>
              <w:top w:val="nil"/>
              <w:bottom w:val="nil"/>
            </w:tcBorders>
          </w:tcPr>
          <w:p>
            <w:pPr>
              <w:pStyle w:val="0"/>
            </w:pPr>
            <w:r>
              <w:rPr>
                <w:sz w:val="20"/>
              </w:rPr>
            </w:r>
          </w:p>
        </w:tc>
        <w:tc>
          <w:tcPr>
            <w:tcW w:w="7937" w:type="dxa"/>
            <w:tcBorders>
              <w:top w:val="nil"/>
              <w:bottom w:val="nil"/>
            </w:tcBorders>
          </w:tcPr>
          <w:p>
            <w:pPr>
              <w:pStyle w:val="0"/>
            </w:pPr>
            <w:r>
              <w:rPr>
                <w:sz w:val="20"/>
              </w:rPr>
            </w:r>
          </w:p>
        </w:tc>
      </w:tr>
      <w:tr>
        <w:tc>
          <w:tcPr>
            <w:tcW w:w="1134" w:type="dxa"/>
            <w:tcBorders>
              <w:top w:val="nil"/>
              <w:bottom w:val="single" w:sz="4"/>
            </w:tcBorders>
          </w:tcPr>
          <w:p>
            <w:pPr>
              <w:pStyle w:val="0"/>
            </w:pPr>
            <w:r>
              <w:rPr>
                <w:sz w:val="20"/>
              </w:rPr>
            </w:r>
          </w:p>
        </w:tc>
        <w:tc>
          <w:tcPr>
            <w:tcW w:w="7937" w:type="dxa"/>
            <w:tcBorders>
              <w:top w:val="nil"/>
              <w:bottom w:val="single" w:sz="4"/>
            </w:tcBorders>
          </w:tcPr>
          <w:p>
            <w:pPr>
              <w:pStyle w:val="0"/>
            </w:pPr>
            <w:r>
              <w:rPr>
                <w:sz w:val="20"/>
              </w:rPr>
            </w:r>
          </w:p>
        </w:tc>
      </w:tr>
    </w:tbl>
    <w:p>
      <w:pPr>
        <w:pStyle w:val="0"/>
        <w:jc w:val="both"/>
      </w:pPr>
      <w:r>
        <w:rPr>
          <w:sz w:val="20"/>
        </w:rPr>
      </w:r>
    </w:p>
    <w:p>
      <w:pPr>
        <w:pStyle w:val="1"/>
        <w:jc w:val="both"/>
      </w:pPr>
      <w:r>
        <w:rPr>
          <w:sz w:val="20"/>
        </w:rPr>
        <w:t xml:space="preserve">2. Данные психофизиологического обследования</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34"/>
        <w:gridCol w:w="5158"/>
        <w:gridCol w:w="2777"/>
      </w:tblGrid>
      <w:tr>
        <w:tblPrEx>
          <w:tblBorders>
            <w:insideH w:val="single" w:sz="4"/>
          </w:tblBorders>
        </w:tblPrEx>
        <w:tc>
          <w:tcPr>
            <w:tcW w:w="1134" w:type="dxa"/>
            <w:tcBorders>
              <w:top w:val="single" w:sz="4"/>
              <w:bottom w:val="single" w:sz="4"/>
            </w:tcBorders>
          </w:tcPr>
          <w:p>
            <w:pPr>
              <w:pStyle w:val="0"/>
              <w:jc w:val="center"/>
            </w:pPr>
            <w:r>
              <w:rPr>
                <w:sz w:val="20"/>
              </w:rPr>
              <w:t xml:space="preserve">Дата</w:t>
            </w:r>
          </w:p>
        </w:tc>
        <w:tc>
          <w:tcPr>
            <w:tcW w:w="5158" w:type="dxa"/>
            <w:tcBorders>
              <w:top w:val="single" w:sz="4"/>
              <w:bottom w:val="single" w:sz="4"/>
            </w:tcBorders>
          </w:tcPr>
          <w:p>
            <w:pPr>
              <w:pStyle w:val="0"/>
              <w:jc w:val="center"/>
            </w:pPr>
            <w:r>
              <w:rPr>
                <w:sz w:val="20"/>
              </w:rPr>
              <w:t xml:space="preserve">Повод, результаты обследования, заключение, рекомендации</w:t>
            </w:r>
          </w:p>
        </w:tc>
        <w:tc>
          <w:tcPr>
            <w:tcW w:w="2777" w:type="dxa"/>
            <w:tcBorders>
              <w:top w:val="single" w:sz="4"/>
              <w:bottom w:val="single" w:sz="4"/>
            </w:tcBorders>
          </w:tcPr>
          <w:p>
            <w:pPr>
              <w:pStyle w:val="0"/>
              <w:jc w:val="center"/>
            </w:pPr>
            <w:r>
              <w:rPr>
                <w:sz w:val="20"/>
              </w:rPr>
              <w:t xml:space="preserve">Должность и подпись медицинского психолога</w:t>
            </w:r>
          </w:p>
        </w:tc>
      </w:tr>
      <w:tr>
        <w:tc>
          <w:tcPr>
            <w:tcW w:w="1134" w:type="dxa"/>
            <w:tcBorders>
              <w:top w:val="single" w:sz="4"/>
              <w:bottom w:val="nil"/>
            </w:tcBorders>
          </w:tcPr>
          <w:p>
            <w:pPr>
              <w:pStyle w:val="0"/>
            </w:pPr>
            <w:r>
              <w:rPr>
                <w:sz w:val="20"/>
              </w:rPr>
            </w:r>
          </w:p>
        </w:tc>
        <w:tc>
          <w:tcPr>
            <w:tcW w:w="5158" w:type="dxa"/>
            <w:tcBorders>
              <w:top w:val="single" w:sz="4"/>
              <w:bottom w:val="nil"/>
            </w:tcBorders>
          </w:tcPr>
          <w:p>
            <w:pPr>
              <w:pStyle w:val="0"/>
            </w:pPr>
            <w:r>
              <w:rPr>
                <w:sz w:val="20"/>
              </w:rPr>
            </w:r>
          </w:p>
        </w:tc>
        <w:tc>
          <w:tcPr>
            <w:tcW w:w="2777" w:type="dxa"/>
            <w:tcBorders>
              <w:top w:val="single" w:sz="4"/>
              <w:bottom w:val="nil"/>
            </w:tcBorders>
          </w:tcPr>
          <w:p>
            <w:pPr>
              <w:pStyle w:val="0"/>
            </w:pPr>
            <w:r>
              <w:rPr>
                <w:sz w:val="20"/>
              </w:rPr>
            </w:r>
          </w:p>
        </w:tc>
      </w:tr>
      <w:tr>
        <w:tc>
          <w:tcPr>
            <w:tcW w:w="1134" w:type="dxa"/>
            <w:tcBorders>
              <w:top w:val="nil"/>
              <w:bottom w:val="nil"/>
            </w:tcBorders>
          </w:tcPr>
          <w:p>
            <w:pPr>
              <w:pStyle w:val="0"/>
            </w:pPr>
            <w:r>
              <w:rPr>
                <w:sz w:val="20"/>
              </w:rPr>
            </w:r>
          </w:p>
        </w:tc>
        <w:tc>
          <w:tcPr>
            <w:tcW w:w="5158" w:type="dxa"/>
            <w:tcBorders>
              <w:top w:val="nil"/>
              <w:bottom w:val="nil"/>
            </w:tcBorders>
          </w:tcPr>
          <w:p>
            <w:pPr>
              <w:pStyle w:val="0"/>
            </w:pPr>
            <w:r>
              <w:rPr>
                <w:sz w:val="20"/>
              </w:rPr>
            </w:r>
          </w:p>
        </w:tc>
        <w:tc>
          <w:tcPr>
            <w:tcW w:w="2777" w:type="dxa"/>
            <w:tcBorders>
              <w:top w:val="nil"/>
              <w:bottom w:val="nil"/>
            </w:tcBorders>
          </w:tcPr>
          <w:p>
            <w:pPr>
              <w:pStyle w:val="0"/>
            </w:pPr>
            <w:r>
              <w:rPr>
                <w:sz w:val="20"/>
              </w:rPr>
            </w:r>
          </w:p>
        </w:tc>
      </w:tr>
      <w:tr>
        <w:tc>
          <w:tcPr>
            <w:tcW w:w="1134" w:type="dxa"/>
            <w:tcBorders>
              <w:top w:val="nil"/>
              <w:bottom w:val="single" w:sz="4"/>
            </w:tcBorders>
          </w:tcPr>
          <w:p>
            <w:pPr>
              <w:pStyle w:val="0"/>
            </w:pPr>
            <w:r>
              <w:rPr>
                <w:sz w:val="20"/>
              </w:rPr>
            </w:r>
          </w:p>
        </w:tc>
        <w:tc>
          <w:tcPr>
            <w:tcW w:w="5158" w:type="dxa"/>
            <w:tcBorders>
              <w:top w:val="nil"/>
              <w:bottom w:val="single" w:sz="4"/>
            </w:tcBorders>
          </w:tcPr>
          <w:p>
            <w:pPr>
              <w:pStyle w:val="0"/>
            </w:pPr>
            <w:r>
              <w:rPr>
                <w:sz w:val="20"/>
              </w:rPr>
            </w:r>
          </w:p>
        </w:tc>
        <w:tc>
          <w:tcPr>
            <w:tcW w:w="2777" w:type="dxa"/>
            <w:tcBorders>
              <w:top w:val="nil"/>
              <w:bottom w:val="single" w:sz="4"/>
            </w:tcBorders>
          </w:tcPr>
          <w:p>
            <w:pPr>
              <w:pStyle w:val="0"/>
            </w:pPr>
            <w:r>
              <w:rPr>
                <w:sz w:val="20"/>
              </w:rPr>
            </w:r>
          </w:p>
        </w:tc>
      </w:tr>
    </w:tbl>
    <w:p>
      <w:pPr>
        <w:pStyle w:val="0"/>
        <w:jc w:val="both"/>
      </w:pPr>
      <w:r>
        <w:rPr>
          <w:sz w:val="20"/>
        </w:rPr>
      </w:r>
    </w:p>
    <w:p>
      <w:pPr>
        <w:pStyle w:val="1"/>
        <w:jc w:val="both"/>
      </w:pPr>
      <w:r>
        <w:rPr>
          <w:sz w:val="20"/>
        </w:rPr>
        <w:t xml:space="preserve">3. Данные функциональных, инструментальных и других обследований</w:t>
      </w:r>
    </w:p>
    <w:p>
      <w:pPr>
        <w:pStyle w:val="1"/>
        <w:jc w:val="both"/>
      </w:pPr>
      <w:r>
        <w:rPr>
          <w:sz w:val="20"/>
        </w:rPr>
      </w:r>
    </w:p>
    <w:p>
      <w:pPr>
        <w:pStyle w:val="1"/>
        <w:jc w:val="both"/>
      </w:pPr>
      <w:r>
        <w:rPr>
          <w:sz w:val="20"/>
        </w:rPr>
        <w:t xml:space="preserve">3.1.  Аудиометрия  (в  хронологическом  порядке подклеиваются аудиограммы с</w:t>
      </w:r>
    </w:p>
    <w:p>
      <w:pPr>
        <w:pStyle w:val="1"/>
        <w:jc w:val="both"/>
      </w:pPr>
      <w:r>
        <w:rPr>
          <w:sz w:val="20"/>
        </w:rPr>
        <w:t xml:space="preserve">заключениями)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34"/>
        <w:gridCol w:w="5102"/>
        <w:gridCol w:w="2835"/>
      </w:tblGrid>
      <w:tr>
        <w:tblPrEx>
          <w:tblBorders>
            <w:insideH w:val="single" w:sz="4"/>
          </w:tblBorders>
        </w:tblPrEx>
        <w:tc>
          <w:tcPr>
            <w:tcW w:w="1134" w:type="dxa"/>
            <w:tcBorders>
              <w:top w:val="single" w:sz="4"/>
              <w:bottom w:val="single" w:sz="4"/>
            </w:tcBorders>
          </w:tcPr>
          <w:p>
            <w:pPr>
              <w:pStyle w:val="0"/>
              <w:jc w:val="center"/>
            </w:pPr>
            <w:r>
              <w:rPr>
                <w:sz w:val="20"/>
              </w:rPr>
              <w:t xml:space="preserve">Дата</w:t>
            </w:r>
          </w:p>
        </w:tc>
        <w:tc>
          <w:tcPr>
            <w:tcW w:w="5102" w:type="dxa"/>
            <w:tcBorders>
              <w:top w:val="single" w:sz="4"/>
              <w:bottom w:val="single" w:sz="4"/>
            </w:tcBorders>
          </w:tcPr>
          <w:p>
            <w:pPr>
              <w:pStyle w:val="0"/>
              <w:jc w:val="center"/>
            </w:pPr>
            <w:r>
              <w:rPr>
                <w:sz w:val="20"/>
              </w:rPr>
              <w:t xml:space="preserve">Результаты</w:t>
            </w:r>
          </w:p>
        </w:tc>
        <w:tc>
          <w:tcPr>
            <w:tcW w:w="2835" w:type="dxa"/>
            <w:tcBorders>
              <w:top w:val="single" w:sz="4"/>
              <w:bottom w:val="single" w:sz="4"/>
            </w:tcBorders>
          </w:tcPr>
          <w:p>
            <w:pPr>
              <w:pStyle w:val="0"/>
              <w:jc w:val="center"/>
            </w:pPr>
            <w:r>
              <w:rPr>
                <w:sz w:val="20"/>
              </w:rPr>
              <w:t xml:space="preserve">Должность и подпись врача</w:t>
            </w:r>
          </w:p>
        </w:tc>
      </w:tr>
      <w:tr>
        <w:tblPrEx>
          <w:tblBorders>
            <w:insideH w:val="single" w:sz="4"/>
          </w:tblBorders>
        </w:tblPrEx>
        <w:tc>
          <w:tcPr>
            <w:tcW w:w="1134" w:type="dxa"/>
            <w:tcBorders>
              <w:top w:val="single" w:sz="4"/>
              <w:bottom w:val="single" w:sz="4"/>
            </w:tcBorders>
            <w:vMerge w:val="restart"/>
          </w:tcPr>
          <w:p>
            <w:pPr>
              <w:pStyle w:val="0"/>
            </w:pPr>
            <w:r>
              <w:rPr>
                <w:sz w:val="20"/>
              </w:rPr>
            </w:r>
          </w:p>
        </w:tc>
        <w:tc>
          <w:tcPr>
            <w:tcW w:w="5102" w:type="dxa"/>
            <w:tcBorders>
              <w:top w:val="single" w:sz="4"/>
              <w:bottom w:val="nil"/>
            </w:tcBorders>
          </w:tcPr>
          <w:p>
            <w:pPr>
              <w:pStyle w:val="0"/>
            </w:pPr>
            <w:r>
              <w:rPr>
                <w:sz w:val="20"/>
              </w:rPr>
              <w:t xml:space="preserve">N п/п</w:t>
            </w:r>
          </w:p>
        </w:tc>
        <w:tc>
          <w:tcPr>
            <w:tcW w:w="2835" w:type="dxa"/>
            <w:tcBorders>
              <w:top w:val="single" w:sz="4"/>
              <w:bottom w:val="nil"/>
            </w:tcBorders>
          </w:tcPr>
          <w:p>
            <w:pPr>
              <w:pStyle w:val="0"/>
            </w:pPr>
            <w:r>
              <w:rPr>
                <w:sz w:val="20"/>
              </w:rPr>
            </w:r>
          </w:p>
        </w:tc>
      </w:tr>
      <w:tr>
        <w:tc>
          <w:tcPr>
            <w:tcBorders>
              <w:top w:val="single" w:sz="4"/>
              <w:bottom w:val="single" w:sz="4"/>
            </w:tcBorders>
            <w:vMerge w:val="continue"/>
          </w:tcPr>
          <w:p/>
        </w:tc>
        <w:tc>
          <w:tcPr>
            <w:tcW w:w="5102" w:type="dxa"/>
            <w:tcBorders>
              <w:top w:val="nil"/>
              <w:bottom w:val="nil"/>
            </w:tcBorders>
          </w:tcPr>
          <w:p>
            <w:pPr>
              <w:pStyle w:val="0"/>
            </w:pPr>
            <w:r>
              <w:rPr>
                <w:sz w:val="20"/>
              </w:rPr>
              <w:t xml:space="preserve">Ф.И.О.</w:t>
            </w:r>
          </w:p>
        </w:tc>
        <w:tc>
          <w:tcPr>
            <w:tcW w:w="2835" w:type="dxa"/>
            <w:tcBorders>
              <w:top w:val="nil"/>
              <w:bottom w:val="nil"/>
            </w:tcBorders>
          </w:tcPr>
          <w:p>
            <w:pPr>
              <w:pStyle w:val="0"/>
            </w:pPr>
            <w:r>
              <w:rPr>
                <w:sz w:val="20"/>
              </w:rPr>
            </w:r>
          </w:p>
        </w:tc>
      </w:tr>
      <w:tr>
        <w:tc>
          <w:tcPr>
            <w:tcBorders>
              <w:top w:val="single" w:sz="4"/>
              <w:bottom w:val="single" w:sz="4"/>
            </w:tcBorders>
            <w:vMerge w:val="continue"/>
          </w:tcPr>
          <w:p/>
        </w:tc>
        <w:tc>
          <w:tcPr>
            <w:tcW w:w="5102" w:type="dxa"/>
            <w:tcBorders>
              <w:top w:val="nil"/>
              <w:bottom w:val="nil"/>
            </w:tcBorders>
          </w:tcPr>
          <w:p>
            <w:pPr>
              <w:pStyle w:val="0"/>
            </w:pPr>
            <w:r>
              <w:rPr>
                <w:sz w:val="20"/>
              </w:rPr>
              <w:t xml:space="preserve">Должность</w:t>
            </w:r>
          </w:p>
        </w:tc>
        <w:tc>
          <w:tcPr>
            <w:tcW w:w="2835" w:type="dxa"/>
            <w:tcBorders>
              <w:top w:val="nil"/>
              <w:bottom w:val="nil"/>
            </w:tcBorders>
          </w:tcPr>
          <w:p>
            <w:pPr>
              <w:pStyle w:val="0"/>
            </w:pPr>
            <w:r>
              <w:rPr>
                <w:sz w:val="20"/>
              </w:rPr>
            </w:r>
          </w:p>
        </w:tc>
      </w:tr>
      <w:tr>
        <w:tc>
          <w:tcPr>
            <w:tcBorders>
              <w:top w:val="single" w:sz="4"/>
              <w:bottom w:val="single" w:sz="4"/>
            </w:tcBorders>
            <w:vMerge w:val="continue"/>
          </w:tcPr>
          <w:p/>
        </w:tc>
        <w:tc>
          <w:tcPr>
            <w:tcW w:w="5102" w:type="dxa"/>
            <w:tcBorders>
              <w:top w:val="nil"/>
              <w:bottom w:val="nil"/>
            </w:tcBorders>
          </w:tcPr>
          <w:p>
            <w:pPr>
              <w:pStyle w:val="0"/>
            </w:pPr>
            <w:r>
              <w:rPr>
                <w:sz w:val="20"/>
              </w:rPr>
              <w:t xml:space="preserve">Рекомендации ВЛЭК ГА</w:t>
            </w:r>
          </w:p>
        </w:tc>
        <w:tc>
          <w:tcPr>
            <w:tcW w:w="2835" w:type="dxa"/>
            <w:tcBorders>
              <w:top w:val="nil"/>
              <w:bottom w:val="nil"/>
            </w:tcBorders>
          </w:tcPr>
          <w:p>
            <w:pPr>
              <w:pStyle w:val="0"/>
            </w:pPr>
            <w:r>
              <w:rPr>
                <w:sz w:val="20"/>
              </w:rPr>
            </w:r>
          </w:p>
        </w:tc>
      </w:tr>
      <w:tr>
        <w:tc>
          <w:tcPr>
            <w:tcBorders>
              <w:top w:val="single" w:sz="4"/>
              <w:bottom w:val="single" w:sz="4"/>
            </w:tcBorders>
            <w:vMerge w:val="continue"/>
          </w:tcPr>
          <w:p/>
        </w:tc>
        <w:tc>
          <w:tcPr>
            <w:tcW w:w="5102" w:type="dxa"/>
            <w:tcBorders>
              <w:top w:val="nil"/>
              <w:bottom w:val="nil"/>
            </w:tcBorders>
          </w:tcPr>
          <w:p>
            <w:pPr>
              <w:pStyle w:val="0"/>
            </w:pPr>
            <w:r>
              <w:rPr>
                <w:sz w:val="20"/>
              </w:rPr>
            </w:r>
          </w:p>
        </w:tc>
        <w:tc>
          <w:tcPr>
            <w:tcW w:w="2835" w:type="dxa"/>
            <w:tcBorders>
              <w:top w:val="nil"/>
              <w:bottom w:val="nil"/>
            </w:tcBorders>
          </w:tcPr>
          <w:p>
            <w:pPr>
              <w:pStyle w:val="0"/>
            </w:pPr>
            <w:r>
              <w:rPr>
                <w:sz w:val="20"/>
              </w:rPr>
            </w:r>
          </w:p>
        </w:tc>
      </w:tr>
      <w:tr>
        <w:tc>
          <w:tcPr>
            <w:tcBorders>
              <w:top w:val="single" w:sz="4"/>
              <w:bottom w:val="single" w:sz="4"/>
            </w:tcBorders>
            <w:vMerge w:val="continue"/>
          </w:tcPr>
          <w:p/>
        </w:tc>
        <w:tc>
          <w:tcPr>
            <w:tcW w:w="5102" w:type="dxa"/>
            <w:tcBorders>
              <w:top w:val="nil"/>
              <w:bottom w:val="nil"/>
            </w:tcBorders>
          </w:tcPr>
          <w:p>
            <w:pPr>
              <w:pStyle w:val="0"/>
            </w:pPr>
            <w:r>
              <w:rPr>
                <w:sz w:val="20"/>
              </w:rPr>
            </w:r>
          </w:p>
        </w:tc>
        <w:tc>
          <w:tcPr>
            <w:tcW w:w="2835" w:type="dxa"/>
            <w:tcBorders>
              <w:top w:val="nil"/>
              <w:bottom w:val="nil"/>
            </w:tcBorders>
          </w:tcPr>
          <w:p>
            <w:pPr>
              <w:pStyle w:val="0"/>
            </w:pPr>
            <w:r>
              <w:rPr>
                <w:sz w:val="20"/>
              </w:rPr>
            </w:r>
          </w:p>
        </w:tc>
      </w:tr>
      <w:tr>
        <w:tc>
          <w:tcPr>
            <w:tcBorders>
              <w:top w:val="single" w:sz="4"/>
              <w:bottom w:val="single" w:sz="4"/>
            </w:tcBorders>
            <w:vMerge w:val="continue"/>
          </w:tcPr>
          <w:p/>
        </w:tc>
        <w:tc>
          <w:tcPr>
            <w:tcW w:w="5102" w:type="dxa"/>
            <w:tcBorders>
              <w:top w:val="nil"/>
              <w:bottom w:val="single" w:sz="4"/>
            </w:tcBorders>
          </w:tcPr>
          <w:p>
            <w:pPr>
              <w:pStyle w:val="0"/>
            </w:pPr>
            <w:r>
              <w:rPr>
                <w:sz w:val="20"/>
              </w:rPr>
            </w:r>
          </w:p>
        </w:tc>
        <w:tc>
          <w:tcPr>
            <w:tcW w:w="2835" w:type="dxa"/>
            <w:tcBorders>
              <w:top w:val="nil"/>
              <w:bottom w:val="single" w:sz="4"/>
            </w:tcBorders>
          </w:tcPr>
          <w:p>
            <w:pPr>
              <w:pStyle w:val="0"/>
            </w:pPr>
            <w:r>
              <w:rPr>
                <w:sz w:val="20"/>
              </w:rPr>
            </w:r>
          </w:p>
        </w:tc>
      </w:tr>
    </w:tbl>
    <w:p>
      <w:pPr>
        <w:pStyle w:val="0"/>
        <w:jc w:val="both"/>
      </w:pPr>
      <w:r>
        <w:rPr>
          <w:sz w:val="20"/>
        </w:rPr>
      </w:r>
    </w:p>
    <w:p>
      <w:pPr>
        <w:pStyle w:val="1"/>
        <w:jc w:val="both"/>
      </w:pPr>
      <w:r>
        <w:rPr>
          <w:sz w:val="20"/>
        </w:rPr>
        <w:t xml:space="preserve">3.2.  Рентгенологическое  исследование  легких, сердца, желудочно-кишечного</w:t>
      </w:r>
    </w:p>
    <w:p>
      <w:pPr>
        <w:pStyle w:val="1"/>
        <w:jc w:val="both"/>
      </w:pPr>
      <w:r>
        <w:rPr>
          <w:sz w:val="20"/>
        </w:rPr>
        <w:t xml:space="preserve">тракта и других органов</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34"/>
        <w:gridCol w:w="5102"/>
        <w:gridCol w:w="2835"/>
      </w:tblGrid>
      <w:tr>
        <w:tblPrEx>
          <w:tblBorders>
            <w:insideH w:val="single" w:sz="4"/>
          </w:tblBorders>
        </w:tblPrEx>
        <w:tc>
          <w:tcPr>
            <w:tcW w:w="1134" w:type="dxa"/>
            <w:tcBorders>
              <w:top w:val="single" w:sz="4"/>
              <w:bottom w:val="single" w:sz="4"/>
            </w:tcBorders>
          </w:tcPr>
          <w:p>
            <w:pPr>
              <w:pStyle w:val="0"/>
              <w:jc w:val="center"/>
            </w:pPr>
            <w:r>
              <w:rPr>
                <w:sz w:val="20"/>
              </w:rPr>
              <w:t xml:space="preserve">Дата</w:t>
            </w:r>
          </w:p>
        </w:tc>
        <w:tc>
          <w:tcPr>
            <w:tcW w:w="5102" w:type="dxa"/>
            <w:tcBorders>
              <w:top w:val="single" w:sz="4"/>
              <w:bottom w:val="single" w:sz="4"/>
            </w:tcBorders>
          </w:tcPr>
          <w:p>
            <w:pPr>
              <w:pStyle w:val="0"/>
              <w:jc w:val="center"/>
            </w:pPr>
            <w:r>
              <w:rPr>
                <w:sz w:val="20"/>
              </w:rPr>
              <w:t xml:space="preserve">Результаты</w:t>
            </w:r>
          </w:p>
        </w:tc>
        <w:tc>
          <w:tcPr>
            <w:tcW w:w="2835" w:type="dxa"/>
            <w:tcBorders>
              <w:top w:val="single" w:sz="4"/>
              <w:bottom w:val="single" w:sz="4"/>
            </w:tcBorders>
          </w:tcPr>
          <w:p>
            <w:pPr>
              <w:pStyle w:val="0"/>
              <w:jc w:val="center"/>
            </w:pPr>
            <w:r>
              <w:rPr>
                <w:sz w:val="20"/>
              </w:rPr>
              <w:t xml:space="preserve">Должность и подпись врача</w:t>
            </w:r>
          </w:p>
        </w:tc>
      </w:tr>
      <w:tr>
        <w:tc>
          <w:tcPr>
            <w:tcW w:w="1134" w:type="dxa"/>
            <w:tcBorders>
              <w:top w:val="single" w:sz="4"/>
              <w:bottom w:val="nil"/>
            </w:tcBorders>
          </w:tcPr>
          <w:p>
            <w:pPr>
              <w:pStyle w:val="0"/>
            </w:pPr>
            <w:r>
              <w:rPr>
                <w:sz w:val="20"/>
              </w:rPr>
            </w:r>
          </w:p>
        </w:tc>
        <w:tc>
          <w:tcPr>
            <w:tcW w:w="5102" w:type="dxa"/>
            <w:tcBorders>
              <w:top w:val="single" w:sz="4"/>
              <w:bottom w:val="nil"/>
            </w:tcBorders>
          </w:tcPr>
          <w:p>
            <w:pPr>
              <w:pStyle w:val="0"/>
            </w:pPr>
            <w:r>
              <w:rPr>
                <w:sz w:val="20"/>
              </w:rPr>
            </w:r>
          </w:p>
        </w:tc>
        <w:tc>
          <w:tcPr>
            <w:tcW w:w="2835" w:type="dxa"/>
            <w:tcBorders>
              <w:top w:val="single" w:sz="4"/>
              <w:bottom w:val="nil"/>
            </w:tcBorders>
          </w:tcPr>
          <w:p>
            <w:pPr>
              <w:pStyle w:val="0"/>
            </w:pPr>
            <w:r>
              <w:rPr>
                <w:sz w:val="20"/>
              </w:rPr>
            </w:r>
          </w:p>
        </w:tc>
      </w:tr>
      <w:tr>
        <w:tc>
          <w:tcPr>
            <w:tcW w:w="1134" w:type="dxa"/>
            <w:tcBorders>
              <w:top w:val="nil"/>
              <w:bottom w:val="nil"/>
            </w:tcBorders>
          </w:tcPr>
          <w:p>
            <w:pPr>
              <w:pStyle w:val="0"/>
            </w:pPr>
            <w:r>
              <w:rPr>
                <w:sz w:val="20"/>
              </w:rPr>
            </w:r>
          </w:p>
        </w:tc>
        <w:tc>
          <w:tcPr>
            <w:tcW w:w="5102" w:type="dxa"/>
            <w:tcBorders>
              <w:top w:val="nil"/>
              <w:bottom w:val="nil"/>
            </w:tcBorders>
          </w:tcPr>
          <w:p>
            <w:pPr>
              <w:pStyle w:val="0"/>
            </w:pPr>
            <w:r>
              <w:rPr>
                <w:sz w:val="20"/>
              </w:rPr>
            </w:r>
          </w:p>
        </w:tc>
        <w:tc>
          <w:tcPr>
            <w:tcW w:w="2835" w:type="dxa"/>
            <w:tcBorders>
              <w:top w:val="nil"/>
              <w:bottom w:val="nil"/>
            </w:tcBorders>
          </w:tcPr>
          <w:p>
            <w:pPr>
              <w:pStyle w:val="0"/>
            </w:pPr>
            <w:r>
              <w:rPr>
                <w:sz w:val="20"/>
              </w:rPr>
            </w:r>
          </w:p>
        </w:tc>
      </w:tr>
      <w:tr>
        <w:tc>
          <w:tcPr>
            <w:tcW w:w="1134" w:type="dxa"/>
            <w:tcBorders>
              <w:top w:val="nil"/>
              <w:bottom w:val="single" w:sz="4"/>
            </w:tcBorders>
          </w:tcPr>
          <w:p>
            <w:pPr>
              <w:pStyle w:val="0"/>
            </w:pPr>
            <w:r>
              <w:rPr>
                <w:sz w:val="20"/>
              </w:rPr>
            </w:r>
          </w:p>
        </w:tc>
        <w:tc>
          <w:tcPr>
            <w:tcW w:w="5102" w:type="dxa"/>
            <w:tcBorders>
              <w:top w:val="nil"/>
              <w:bottom w:val="single" w:sz="4"/>
            </w:tcBorders>
          </w:tcPr>
          <w:p>
            <w:pPr>
              <w:pStyle w:val="0"/>
            </w:pPr>
            <w:r>
              <w:rPr>
                <w:sz w:val="20"/>
              </w:rPr>
            </w:r>
          </w:p>
        </w:tc>
        <w:tc>
          <w:tcPr>
            <w:tcW w:w="2835" w:type="dxa"/>
            <w:tcBorders>
              <w:top w:val="nil"/>
              <w:bottom w:val="single" w:sz="4"/>
            </w:tcBorders>
          </w:tcPr>
          <w:p>
            <w:pPr>
              <w:pStyle w:val="0"/>
            </w:pPr>
            <w:r>
              <w:rPr>
                <w:sz w:val="20"/>
              </w:rPr>
            </w:r>
          </w:p>
        </w:tc>
      </w:tr>
    </w:tbl>
    <w:p>
      <w:pPr>
        <w:pStyle w:val="0"/>
        <w:jc w:val="both"/>
      </w:pPr>
      <w:r>
        <w:rPr>
          <w:sz w:val="20"/>
        </w:rPr>
      </w:r>
    </w:p>
    <w:p>
      <w:pPr>
        <w:pStyle w:val="1"/>
        <w:jc w:val="both"/>
      </w:pPr>
      <w:r>
        <w:rPr>
          <w:sz w:val="20"/>
        </w:rPr>
        <w:t xml:space="preserve">3.3. Электрокардиографические и другие исследования</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34"/>
        <w:gridCol w:w="5102"/>
        <w:gridCol w:w="2835"/>
      </w:tblGrid>
      <w:tr>
        <w:tblPrEx>
          <w:tblBorders>
            <w:insideH w:val="single" w:sz="4"/>
          </w:tblBorders>
        </w:tblPrEx>
        <w:tc>
          <w:tcPr>
            <w:tcW w:w="1134" w:type="dxa"/>
            <w:tcBorders>
              <w:top w:val="single" w:sz="4"/>
              <w:bottom w:val="single" w:sz="4"/>
            </w:tcBorders>
          </w:tcPr>
          <w:p>
            <w:pPr>
              <w:pStyle w:val="0"/>
              <w:jc w:val="center"/>
            </w:pPr>
            <w:r>
              <w:rPr>
                <w:sz w:val="20"/>
              </w:rPr>
              <w:t xml:space="preserve">Дата</w:t>
            </w:r>
          </w:p>
        </w:tc>
        <w:tc>
          <w:tcPr>
            <w:tcW w:w="5102" w:type="dxa"/>
            <w:tcBorders>
              <w:top w:val="single" w:sz="4"/>
              <w:bottom w:val="single" w:sz="4"/>
            </w:tcBorders>
          </w:tcPr>
          <w:p>
            <w:pPr>
              <w:pStyle w:val="0"/>
              <w:jc w:val="center"/>
            </w:pPr>
            <w:r>
              <w:rPr>
                <w:sz w:val="20"/>
              </w:rPr>
              <w:t xml:space="preserve">Результаты</w:t>
            </w:r>
          </w:p>
        </w:tc>
        <w:tc>
          <w:tcPr>
            <w:tcW w:w="2835" w:type="dxa"/>
            <w:tcBorders>
              <w:top w:val="single" w:sz="4"/>
              <w:bottom w:val="single" w:sz="4"/>
            </w:tcBorders>
          </w:tcPr>
          <w:p>
            <w:pPr>
              <w:pStyle w:val="0"/>
              <w:jc w:val="center"/>
            </w:pPr>
            <w:r>
              <w:rPr>
                <w:sz w:val="20"/>
              </w:rPr>
              <w:t xml:space="preserve">Должность и подпись врача</w:t>
            </w:r>
          </w:p>
        </w:tc>
      </w:tr>
      <w:tr>
        <w:tc>
          <w:tcPr>
            <w:tcW w:w="1134" w:type="dxa"/>
            <w:tcBorders>
              <w:top w:val="single" w:sz="4"/>
              <w:bottom w:val="nil"/>
            </w:tcBorders>
          </w:tcPr>
          <w:p>
            <w:pPr>
              <w:pStyle w:val="0"/>
            </w:pPr>
            <w:r>
              <w:rPr>
                <w:sz w:val="20"/>
              </w:rPr>
            </w:r>
          </w:p>
        </w:tc>
        <w:tc>
          <w:tcPr>
            <w:tcW w:w="5102" w:type="dxa"/>
            <w:tcBorders>
              <w:top w:val="single" w:sz="4"/>
              <w:bottom w:val="nil"/>
            </w:tcBorders>
          </w:tcPr>
          <w:p>
            <w:pPr>
              <w:pStyle w:val="0"/>
            </w:pPr>
            <w:r>
              <w:rPr>
                <w:sz w:val="20"/>
              </w:rPr>
            </w:r>
          </w:p>
        </w:tc>
        <w:tc>
          <w:tcPr>
            <w:tcW w:w="2835" w:type="dxa"/>
            <w:tcBorders>
              <w:top w:val="single" w:sz="4"/>
              <w:bottom w:val="nil"/>
            </w:tcBorders>
          </w:tcPr>
          <w:p>
            <w:pPr>
              <w:pStyle w:val="0"/>
            </w:pPr>
            <w:r>
              <w:rPr>
                <w:sz w:val="20"/>
              </w:rPr>
            </w:r>
          </w:p>
        </w:tc>
      </w:tr>
      <w:tr>
        <w:tc>
          <w:tcPr>
            <w:tcW w:w="1134" w:type="dxa"/>
            <w:tcBorders>
              <w:top w:val="nil"/>
              <w:bottom w:val="nil"/>
            </w:tcBorders>
          </w:tcPr>
          <w:p>
            <w:pPr>
              <w:pStyle w:val="0"/>
            </w:pPr>
            <w:r>
              <w:rPr>
                <w:sz w:val="20"/>
              </w:rPr>
            </w:r>
          </w:p>
        </w:tc>
        <w:tc>
          <w:tcPr>
            <w:tcW w:w="5102" w:type="dxa"/>
            <w:tcBorders>
              <w:top w:val="nil"/>
              <w:bottom w:val="nil"/>
            </w:tcBorders>
          </w:tcPr>
          <w:p>
            <w:pPr>
              <w:pStyle w:val="0"/>
            </w:pPr>
            <w:r>
              <w:rPr>
                <w:sz w:val="20"/>
              </w:rPr>
            </w:r>
          </w:p>
        </w:tc>
        <w:tc>
          <w:tcPr>
            <w:tcW w:w="2835" w:type="dxa"/>
            <w:tcBorders>
              <w:top w:val="nil"/>
              <w:bottom w:val="nil"/>
            </w:tcBorders>
          </w:tcPr>
          <w:p>
            <w:pPr>
              <w:pStyle w:val="0"/>
            </w:pPr>
            <w:r>
              <w:rPr>
                <w:sz w:val="20"/>
              </w:rPr>
            </w:r>
          </w:p>
        </w:tc>
      </w:tr>
      <w:tr>
        <w:tc>
          <w:tcPr>
            <w:tcW w:w="1134" w:type="dxa"/>
            <w:tcBorders>
              <w:top w:val="nil"/>
              <w:bottom w:val="single" w:sz="4"/>
            </w:tcBorders>
          </w:tcPr>
          <w:p>
            <w:pPr>
              <w:pStyle w:val="0"/>
            </w:pPr>
            <w:r>
              <w:rPr>
                <w:sz w:val="20"/>
              </w:rPr>
            </w:r>
          </w:p>
        </w:tc>
        <w:tc>
          <w:tcPr>
            <w:tcW w:w="5102" w:type="dxa"/>
            <w:tcBorders>
              <w:top w:val="nil"/>
              <w:bottom w:val="single" w:sz="4"/>
            </w:tcBorders>
          </w:tcPr>
          <w:p>
            <w:pPr>
              <w:pStyle w:val="0"/>
            </w:pPr>
            <w:r>
              <w:rPr>
                <w:sz w:val="20"/>
              </w:rPr>
            </w:r>
          </w:p>
        </w:tc>
        <w:tc>
          <w:tcPr>
            <w:tcW w:w="2835" w:type="dxa"/>
            <w:tcBorders>
              <w:top w:val="nil"/>
              <w:bottom w:val="single" w:sz="4"/>
            </w:tcBorders>
          </w:tcPr>
          <w:p>
            <w:pPr>
              <w:pStyle w:val="0"/>
            </w:pPr>
            <w:r>
              <w:rPr>
                <w:sz w:val="20"/>
              </w:rPr>
            </w:r>
          </w:p>
        </w:tc>
      </w:tr>
    </w:tbl>
    <w:p>
      <w:pPr>
        <w:pStyle w:val="0"/>
        <w:jc w:val="both"/>
      </w:pPr>
      <w:r>
        <w:rPr>
          <w:sz w:val="20"/>
        </w:rPr>
      </w:r>
    </w:p>
    <w:p>
      <w:pPr>
        <w:pStyle w:val="1"/>
        <w:jc w:val="both"/>
      </w:pPr>
      <w:r>
        <w:rPr>
          <w:sz w:val="20"/>
        </w:rPr>
        <w:t xml:space="preserve">3.4. Электроэнцефалография и другие исследования</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134"/>
        <w:gridCol w:w="5102"/>
        <w:gridCol w:w="2835"/>
      </w:tblGrid>
      <w:tr>
        <w:tblPrEx>
          <w:tblBorders>
            <w:insideH w:val="single" w:sz="4"/>
          </w:tblBorders>
        </w:tblPrEx>
        <w:tc>
          <w:tcPr>
            <w:tcW w:w="1134" w:type="dxa"/>
            <w:tcBorders>
              <w:top w:val="single" w:sz="4"/>
              <w:bottom w:val="single" w:sz="4"/>
            </w:tcBorders>
          </w:tcPr>
          <w:p>
            <w:pPr>
              <w:pStyle w:val="0"/>
              <w:jc w:val="center"/>
            </w:pPr>
            <w:r>
              <w:rPr>
                <w:sz w:val="20"/>
              </w:rPr>
              <w:t xml:space="preserve">Дата</w:t>
            </w:r>
          </w:p>
        </w:tc>
        <w:tc>
          <w:tcPr>
            <w:tcW w:w="5102" w:type="dxa"/>
            <w:tcBorders>
              <w:top w:val="single" w:sz="4"/>
              <w:bottom w:val="single" w:sz="4"/>
            </w:tcBorders>
          </w:tcPr>
          <w:p>
            <w:pPr>
              <w:pStyle w:val="0"/>
              <w:jc w:val="center"/>
            </w:pPr>
            <w:r>
              <w:rPr>
                <w:sz w:val="20"/>
              </w:rPr>
              <w:t xml:space="preserve">Результаты</w:t>
            </w:r>
          </w:p>
        </w:tc>
        <w:tc>
          <w:tcPr>
            <w:tcW w:w="2835" w:type="dxa"/>
            <w:tcBorders>
              <w:top w:val="single" w:sz="4"/>
              <w:bottom w:val="single" w:sz="4"/>
            </w:tcBorders>
          </w:tcPr>
          <w:p>
            <w:pPr>
              <w:pStyle w:val="0"/>
              <w:jc w:val="center"/>
            </w:pPr>
            <w:r>
              <w:rPr>
                <w:sz w:val="20"/>
              </w:rPr>
              <w:t xml:space="preserve">Должность и подпись врача</w:t>
            </w:r>
          </w:p>
        </w:tc>
      </w:tr>
      <w:tr>
        <w:tc>
          <w:tcPr>
            <w:tcW w:w="1134" w:type="dxa"/>
            <w:tcBorders>
              <w:top w:val="single" w:sz="4"/>
              <w:bottom w:val="nil"/>
            </w:tcBorders>
          </w:tcPr>
          <w:p>
            <w:pPr>
              <w:pStyle w:val="0"/>
            </w:pPr>
            <w:r>
              <w:rPr>
                <w:sz w:val="20"/>
              </w:rPr>
            </w:r>
          </w:p>
        </w:tc>
        <w:tc>
          <w:tcPr>
            <w:tcW w:w="5102" w:type="dxa"/>
            <w:tcBorders>
              <w:top w:val="single" w:sz="4"/>
              <w:bottom w:val="nil"/>
            </w:tcBorders>
          </w:tcPr>
          <w:p>
            <w:pPr>
              <w:pStyle w:val="0"/>
            </w:pPr>
            <w:r>
              <w:rPr>
                <w:sz w:val="20"/>
              </w:rPr>
            </w:r>
          </w:p>
        </w:tc>
        <w:tc>
          <w:tcPr>
            <w:tcW w:w="2835" w:type="dxa"/>
            <w:tcBorders>
              <w:top w:val="single" w:sz="4"/>
              <w:bottom w:val="nil"/>
            </w:tcBorders>
          </w:tcPr>
          <w:p>
            <w:pPr>
              <w:pStyle w:val="0"/>
            </w:pPr>
            <w:r>
              <w:rPr>
                <w:sz w:val="20"/>
              </w:rPr>
            </w:r>
          </w:p>
        </w:tc>
      </w:tr>
      <w:tr>
        <w:tc>
          <w:tcPr>
            <w:tcW w:w="1134" w:type="dxa"/>
            <w:tcBorders>
              <w:top w:val="nil"/>
              <w:bottom w:val="nil"/>
            </w:tcBorders>
          </w:tcPr>
          <w:p>
            <w:pPr>
              <w:pStyle w:val="0"/>
            </w:pPr>
            <w:r>
              <w:rPr>
                <w:sz w:val="20"/>
              </w:rPr>
            </w:r>
          </w:p>
        </w:tc>
        <w:tc>
          <w:tcPr>
            <w:tcW w:w="5102" w:type="dxa"/>
            <w:tcBorders>
              <w:top w:val="nil"/>
              <w:bottom w:val="nil"/>
            </w:tcBorders>
          </w:tcPr>
          <w:p>
            <w:pPr>
              <w:pStyle w:val="0"/>
            </w:pPr>
            <w:r>
              <w:rPr>
                <w:sz w:val="20"/>
              </w:rPr>
            </w:r>
          </w:p>
        </w:tc>
        <w:tc>
          <w:tcPr>
            <w:tcW w:w="2835" w:type="dxa"/>
            <w:tcBorders>
              <w:top w:val="nil"/>
              <w:bottom w:val="nil"/>
            </w:tcBorders>
          </w:tcPr>
          <w:p>
            <w:pPr>
              <w:pStyle w:val="0"/>
            </w:pPr>
            <w:r>
              <w:rPr>
                <w:sz w:val="20"/>
              </w:rPr>
            </w:r>
          </w:p>
        </w:tc>
      </w:tr>
      <w:tr>
        <w:tc>
          <w:tcPr>
            <w:tcW w:w="1134" w:type="dxa"/>
            <w:tcBorders>
              <w:top w:val="nil"/>
              <w:bottom w:val="single" w:sz="4"/>
            </w:tcBorders>
          </w:tcPr>
          <w:p>
            <w:pPr>
              <w:pStyle w:val="0"/>
            </w:pPr>
            <w:r>
              <w:rPr>
                <w:sz w:val="20"/>
              </w:rPr>
            </w:r>
          </w:p>
        </w:tc>
        <w:tc>
          <w:tcPr>
            <w:tcW w:w="5102" w:type="dxa"/>
            <w:tcBorders>
              <w:top w:val="nil"/>
              <w:bottom w:val="single" w:sz="4"/>
            </w:tcBorders>
          </w:tcPr>
          <w:p>
            <w:pPr>
              <w:pStyle w:val="0"/>
            </w:pPr>
            <w:r>
              <w:rPr>
                <w:sz w:val="20"/>
              </w:rPr>
            </w:r>
          </w:p>
        </w:tc>
        <w:tc>
          <w:tcPr>
            <w:tcW w:w="2835" w:type="dxa"/>
            <w:tcBorders>
              <w:top w:val="nil"/>
              <w:bottom w:val="single" w:sz="4"/>
            </w:tcBorders>
          </w:tcPr>
          <w:p>
            <w:pPr>
              <w:pStyle w:val="0"/>
            </w:pPr>
            <w:r>
              <w:rPr>
                <w:sz w:val="20"/>
              </w:rPr>
            </w:r>
          </w:p>
        </w:tc>
      </w:tr>
    </w:tbl>
    <w:p>
      <w:pPr>
        <w:pStyle w:val="0"/>
        <w:jc w:val="both"/>
      </w:pPr>
      <w:r>
        <w:rPr>
          <w:sz w:val="20"/>
        </w:rPr>
      </w:r>
    </w:p>
    <w:p>
      <w:pPr>
        <w:pStyle w:val="1"/>
        <w:jc w:val="both"/>
      </w:pPr>
      <w:r>
        <w:rPr>
          <w:sz w:val="20"/>
        </w:rPr>
        <w:t xml:space="preserve">3.5. Лабораторные исследования</w:t>
      </w:r>
    </w:p>
    <w:p>
      <w:pPr>
        <w:pStyle w:val="1"/>
        <w:jc w:val="both"/>
      </w:pPr>
      <w:r>
        <w:rPr>
          <w:sz w:val="20"/>
        </w:rPr>
      </w:r>
    </w:p>
    <w:p>
      <w:pPr>
        <w:pStyle w:val="1"/>
        <w:jc w:val="both"/>
      </w:pPr>
      <w:r>
        <w:rPr>
          <w:sz w:val="20"/>
        </w:rPr>
        <w:t xml:space="preserve">4. Наблюдение у стоматолога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4"/>
        <w:gridCol w:w="340"/>
        <w:gridCol w:w="340"/>
        <w:gridCol w:w="396"/>
        <w:gridCol w:w="396"/>
        <w:gridCol w:w="396"/>
        <w:gridCol w:w="396"/>
        <w:gridCol w:w="396"/>
        <w:gridCol w:w="396"/>
        <w:gridCol w:w="396"/>
        <w:gridCol w:w="396"/>
        <w:gridCol w:w="396"/>
        <w:gridCol w:w="396"/>
        <w:gridCol w:w="396"/>
        <w:gridCol w:w="396"/>
        <w:gridCol w:w="396"/>
        <w:gridCol w:w="396"/>
      </w:tblGrid>
      <w:tr>
        <w:tc>
          <w:tcPr>
            <w:tcW w:w="2834" w:type="dxa"/>
          </w:tcPr>
          <w:p>
            <w:pPr>
              <w:pStyle w:val="0"/>
            </w:pPr>
            <w:r>
              <w:rPr>
                <w:sz w:val="20"/>
              </w:rPr>
              <w:t xml:space="preserve">Дата и повод для осмотра</w:t>
            </w:r>
          </w:p>
        </w:tc>
        <w:tc>
          <w:tcPr>
            <w:gridSpan w:val="16"/>
            <w:tcW w:w="6224" w:type="dxa"/>
          </w:tcPr>
          <w:p>
            <w:pPr>
              <w:pStyle w:val="0"/>
            </w:pPr>
            <w:r>
              <w:rPr>
                <w:sz w:val="20"/>
              </w:rPr>
            </w:r>
          </w:p>
        </w:tc>
      </w:tr>
      <w:tr>
        <w:tc>
          <w:tcPr>
            <w:tcW w:w="2834" w:type="dxa"/>
          </w:tcPr>
          <w:p>
            <w:pPr>
              <w:pStyle w:val="0"/>
            </w:pPr>
            <w:r>
              <w:rPr>
                <w:sz w:val="20"/>
              </w:rPr>
              <w:t xml:space="preserve">Кожа лица, лимфатические узлы</w:t>
            </w:r>
          </w:p>
        </w:tc>
        <w:tc>
          <w:tcPr>
            <w:gridSpan w:val="16"/>
            <w:tcW w:w="6224" w:type="dxa"/>
          </w:tcPr>
          <w:p>
            <w:pPr>
              <w:pStyle w:val="0"/>
            </w:pPr>
            <w:r>
              <w:rPr>
                <w:sz w:val="20"/>
              </w:rPr>
            </w:r>
          </w:p>
        </w:tc>
      </w:tr>
      <w:tr>
        <w:tc>
          <w:tcPr>
            <w:tcW w:w="2834" w:type="dxa"/>
          </w:tcPr>
          <w:p>
            <w:pPr>
              <w:pStyle w:val="0"/>
            </w:pPr>
            <w:r>
              <w:rPr>
                <w:sz w:val="20"/>
              </w:rPr>
              <w:t xml:space="preserve">Височно-нижнечелюстной сустав</w:t>
            </w:r>
          </w:p>
        </w:tc>
        <w:tc>
          <w:tcPr>
            <w:gridSpan w:val="16"/>
            <w:tcW w:w="6224" w:type="dxa"/>
          </w:tcPr>
          <w:p>
            <w:pPr>
              <w:pStyle w:val="0"/>
            </w:pPr>
            <w:r>
              <w:rPr>
                <w:sz w:val="20"/>
              </w:rPr>
            </w:r>
          </w:p>
        </w:tc>
      </w:tr>
      <w:tr>
        <w:tc>
          <w:tcPr>
            <w:tcW w:w="2834" w:type="dxa"/>
          </w:tcPr>
          <w:p>
            <w:pPr>
              <w:pStyle w:val="0"/>
            </w:pPr>
            <w:r>
              <w:rPr>
                <w:sz w:val="20"/>
              </w:rPr>
              <w:t xml:space="preserve">Слизистая губ, десен, полости рта</w:t>
            </w:r>
          </w:p>
        </w:tc>
        <w:tc>
          <w:tcPr>
            <w:gridSpan w:val="16"/>
            <w:tcW w:w="6224" w:type="dxa"/>
          </w:tcPr>
          <w:p>
            <w:pPr>
              <w:pStyle w:val="0"/>
            </w:pPr>
            <w:r>
              <w:rPr>
                <w:sz w:val="20"/>
              </w:rPr>
            </w:r>
          </w:p>
        </w:tc>
      </w:tr>
      <w:tr>
        <w:tc>
          <w:tcPr>
            <w:tcW w:w="2834" w:type="dxa"/>
          </w:tcPr>
          <w:p>
            <w:pPr>
              <w:pStyle w:val="0"/>
            </w:pPr>
            <w:r>
              <w:rPr>
                <w:sz w:val="20"/>
              </w:rPr>
              <w:t xml:space="preserve">Слюнные железы, саливация</w:t>
            </w:r>
          </w:p>
        </w:tc>
        <w:tc>
          <w:tcPr>
            <w:gridSpan w:val="16"/>
            <w:tcW w:w="6224" w:type="dxa"/>
          </w:tcPr>
          <w:p>
            <w:pPr>
              <w:pStyle w:val="0"/>
            </w:pPr>
            <w:r>
              <w:rPr>
                <w:sz w:val="20"/>
              </w:rPr>
            </w:r>
          </w:p>
        </w:tc>
      </w:tr>
      <w:tr>
        <w:tc>
          <w:tcPr>
            <w:tcW w:w="2834" w:type="dxa"/>
          </w:tcPr>
          <w:p>
            <w:pPr>
              <w:pStyle w:val="0"/>
            </w:pPr>
            <w:r>
              <w:rPr>
                <w:sz w:val="20"/>
              </w:rPr>
              <w:t xml:space="preserve">Прикус</w:t>
            </w:r>
          </w:p>
        </w:tc>
        <w:tc>
          <w:tcPr>
            <w:gridSpan w:val="16"/>
            <w:tcW w:w="6224" w:type="dxa"/>
          </w:tcPr>
          <w:p>
            <w:pPr>
              <w:pStyle w:val="0"/>
            </w:pPr>
            <w:r>
              <w:rPr>
                <w:sz w:val="20"/>
              </w:rPr>
            </w:r>
          </w:p>
        </w:tc>
      </w:tr>
      <w:tr>
        <w:tc>
          <w:tcPr>
            <w:tcW w:w="2834" w:type="dxa"/>
          </w:tcPr>
          <w:p>
            <w:pPr>
              <w:pStyle w:val="0"/>
            </w:pPr>
            <w:r>
              <w:rPr>
                <w:sz w:val="20"/>
              </w:rPr>
              <w:t xml:space="preserve">Зубные отложения</w:t>
            </w:r>
          </w:p>
        </w:tc>
        <w:tc>
          <w:tcPr>
            <w:gridSpan w:val="16"/>
            <w:tcW w:w="6224" w:type="dxa"/>
          </w:tcPr>
          <w:p>
            <w:pPr>
              <w:pStyle w:val="0"/>
            </w:pPr>
            <w:r>
              <w:rPr>
                <w:sz w:val="20"/>
              </w:rPr>
            </w:r>
          </w:p>
        </w:tc>
      </w:tr>
      <w:tr>
        <w:tc>
          <w:tcPr>
            <w:tcW w:w="2834" w:type="dxa"/>
            <w:vAlign w:val="center"/>
            <w:vMerge w:val="restart"/>
          </w:tcPr>
          <w:p>
            <w:pPr>
              <w:pStyle w:val="0"/>
            </w:pPr>
            <w:r>
              <w:rPr>
                <w:sz w:val="20"/>
              </w:rPr>
              <w:t xml:space="preserve">Зубная формула: отсут. - О; непрорез. - НП; пломба - ПЛ; кор. метал. - КМ; мост, протез - М; съемный протез - ПР; подл. удал. - Э; гранулема - ГР; корень - КН; кариес - К</w:t>
            </w:r>
          </w:p>
        </w:tc>
        <w:tc>
          <w:tcPr>
            <w:tcW w:w="340" w:type="dxa"/>
            <w:vAlign w:val="center"/>
            <w:tcBorders>
              <w:bottom w:val="nil"/>
            </w:tcBorders>
          </w:tcPr>
          <w:p>
            <w:pPr>
              <w:pStyle w:val="0"/>
            </w:pPr>
            <w:r>
              <w:rPr>
                <w:sz w:val="20"/>
              </w:rPr>
              <w:t xml:space="preserve">18</w:t>
            </w:r>
          </w:p>
        </w:tc>
        <w:tc>
          <w:tcPr>
            <w:tcW w:w="340" w:type="dxa"/>
            <w:vAlign w:val="center"/>
            <w:tcBorders>
              <w:bottom w:val="nil"/>
            </w:tcBorders>
          </w:tcPr>
          <w:p>
            <w:pPr>
              <w:pStyle w:val="0"/>
            </w:pPr>
            <w:r>
              <w:rPr>
                <w:sz w:val="20"/>
              </w:rPr>
              <w:t xml:space="preserve">17</w:t>
            </w:r>
          </w:p>
        </w:tc>
        <w:tc>
          <w:tcPr>
            <w:tcW w:w="396" w:type="dxa"/>
            <w:vAlign w:val="center"/>
            <w:tcBorders>
              <w:bottom w:val="nil"/>
            </w:tcBorders>
          </w:tcPr>
          <w:p>
            <w:pPr>
              <w:pStyle w:val="0"/>
            </w:pPr>
            <w:r>
              <w:rPr>
                <w:sz w:val="20"/>
              </w:rPr>
              <w:t xml:space="preserve">16</w:t>
            </w:r>
          </w:p>
        </w:tc>
        <w:tc>
          <w:tcPr>
            <w:tcW w:w="396" w:type="dxa"/>
            <w:vAlign w:val="center"/>
            <w:tcBorders>
              <w:bottom w:val="nil"/>
            </w:tcBorders>
          </w:tcPr>
          <w:p>
            <w:pPr>
              <w:pStyle w:val="0"/>
            </w:pPr>
            <w:r>
              <w:rPr>
                <w:sz w:val="20"/>
              </w:rPr>
              <w:t xml:space="preserve">15</w:t>
            </w:r>
          </w:p>
        </w:tc>
        <w:tc>
          <w:tcPr>
            <w:tcW w:w="396" w:type="dxa"/>
            <w:vAlign w:val="center"/>
            <w:tcBorders>
              <w:bottom w:val="nil"/>
            </w:tcBorders>
          </w:tcPr>
          <w:p>
            <w:pPr>
              <w:pStyle w:val="0"/>
            </w:pPr>
            <w:r>
              <w:rPr>
                <w:sz w:val="20"/>
              </w:rPr>
              <w:t xml:space="preserve">14</w:t>
            </w:r>
          </w:p>
        </w:tc>
        <w:tc>
          <w:tcPr>
            <w:tcW w:w="396" w:type="dxa"/>
            <w:vAlign w:val="center"/>
            <w:tcBorders>
              <w:bottom w:val="nil"/>
            </w:tcBorders>
          </w:tcPr>
          <w:p>
            <w:pPr>
              <w:pStyle w:val="0"/>
            </w:pPr>
            <w:r>
              <w:rPr>
                <w:sz w:val="20"/>
              </w:rPr>
              <w:t xml:space="preserve">13</w:t>
            </w:r>
          </w:p>
        </w:tc>
        <w:tc>
          <w:tcPr>
            <w:tcW w:w="396" w:type="dxa"/>
            <w:vAlign w:val="center"/>
            <w:tcBorders>
              <w:bottom w:val="nil"/>
            </w:tcBorders>
          </w:tcPr>
          <w:p>
            <w:pPr>
              <w:pStyle w:val="0"/>
            </w:pPr>
            <w:r>
              <w:rPr>
                <w:sz w:val="20"/>
              </w:rPr>
              <w:t xml:space="preserve">12</w:t>
            </w:r>
          </w:p>
        </w:tc>
        <w:tc>
          <w:tcPr>
            <w:tcW w:w="396" w:type="dxa"/>
            <w:vAlign w:val="center"/>
            <w:tcBorders>
              <w:bottom w:val="nil"/>
            </w:tcBorders>
          </w:tcPr>
          <w:p>
            <w:pPr>
              <w:pStyle w:val="0"/>
            </w:pPr>
            <w:r>
              <w:rPr>
                <w:sz w:val="20"/>
              </w:rPr>
              <w:t xml:space="preserve">11</w:t>
            </w:r>
          </w:p>
        </w:tc>
        <w:tc>
          <w:tcPr>
            <w:tcW w:w="396" w:type="dxa"/>
            <w:vAlign w:val="center"/>
            <w:tcBorders>
              <w:bottom w:val="nil"/>
            </w:tcBorders>
          </w:tcPr>
          <w:p>
            <w:pPr>
              <w:pStyle w:val="0"/>
            </w:pPr>
            <w:r>
              <w:rPr>
                <w:sz w:val="20"/>
              </w:rPr>
              <w:t xml:space="preserve">21</w:t>
            </w:r>
          </w:p>
        </w:tc>
        <w:tc>
          <w:tcPr>
            <w:tcW w:w="396" w:type="dxa"/>
            <w:vAlign w:val="center"/>
            <w:tcBorders>
              <w:bottom w:val="nil"/>
            </w:tcBorders>
          </w:tcPr>
          <w:p>
            <w:pPr>
              <w:pStyle w:val="0"/>
            </w:pPr>
            <w:r>
              <w:rPr>
                <w:sz w:val="20"/>
              </w:rPr>
              <w:t xml:space="preserve">22</w:t>
            </w:r>
          </w:p>
        </w:tc>
        <w:tc>
          <w:tcPr>
            <w:tcW w:w="396" w:type="dxa"/>
            <w:vAlign w:val="center"/>
            <w:tcBorders>
              <w:bottom w:val="nil"/>
            </w:tcBorders>
          </w:tcPr>
          <w:p>
            <w:pPr>
              <w:pStyle w:val="0"/>
            </w:pPr>
            <w:r>
              <w:rPr>
                <w:sz w:val="20"/>
              </w:rPr>
              <w:t xml:space="preserve">23</w:t>
            </w:r>
          </w:p>
        </w:tc>
        <w:tc>
          <w:tcPr>
            <w:tcW w:w="396" w:type="dxa"/>
            <w:vAlign w:val="center"/>
            <w:tcBorders>
              <w:bottom w:val="nil"/>
            </w:tcBorders>
          </w:tcPr>
          <w:p>
            <w:pPr>
              <w:pStyle w:val="0"/>
            </w:pPr>
            <w:r>
              <w:rPr>
                <w:sz w:val="20"/>
              </w:rPr>
              <w:t xml:space="preserve">24</w:t>
            </w:r>
          </w:p>
        </w:tc>
        <w:tc>
          <w:tcPr>
            <w:tcW w:w="396" w:type="dxa"/>
            <w:vAlign w:val="center"/>
            <w:tcBorders>
              <w:bottom w:val="nil"/>
            </w:tcBorders>
          </w:tcPr>
          <w:p>
            <w:pPr>
              <w:pStyle w:val="0"/>
            </w:pPr>
            <w:r>
              <w:rPr>
                <w:sz w:val="20"/>
              </w:rPr>
              <w:t xml:space="preserve">25</w:t>
            </w:r>
          </w:p>
        </w:tc>
        <w:tc>
          <w:tcPr>
            <w:tcW w:w="396" w:type="dxa"/>
            <w:vAlign w:val="center"/>
            <w:tcBorders>
              <w:bottom w:val="nil"/>
            </w:tcBorders>
          </w:tcPr>
          <w:p>
            <w:pPr>
              <w:pStyle w:val="0"/>
            </w:pPr>
            <w:r>
              <w:rPr>
                <w:sz w:val="20"/>
              </w:rPr>
              <w:t xml:space="preserve">26</w:t>
            </w:r>
          </w:p>
        </w:tc>
        <w:tc>
          <w:tcPr>
            <w:tcW w:w="396" w:type="dxa"/>
            <w:vAlign w:val="center"/>
            <w:tcBorders>
              <w:bottom w:val="nil"/>
            </w:tcBorders>
          </w:tcPr>
          <w:p>
            <w:pPr>
              <w:pStyle w:val="0"/>
            </w:pPr>
            <w:r>
              <w:rPr>
                <w:sz w:val="20"/>
              </w:rPr>
              <w:t xml:space="preserve">27</w:t>
            </w:r>
          </w:p>
        </w:tc>
        <w:tc>
          <w:tcPr>
            <w:tcW w:w="396" w:type="dxa"/>
            <w:vAlign w:val="center"/>
            <w:tcBorders>
              <w:bottom w:val="nil"/>
            </w:tcBorders>
          </w:tcPr>
          <w:p>
            <w:pPr>
              <w:pStyle w:val="0"/>
            </w:pPr>
            <w:r>
              <w:rPr>
                <w:sz w:val="20"/>
              </w:rPr>
              <w:t xml:space="preserve">28</w:t>
            </w:r>
          </w:p>
        </w:tc>
      </w:tr>
      <w:tr>
        <w:tc>
          <w:tcPr>
            <w:vMerge w:val="continue"/>
          </w:tcPr>
          <w:p/>
        </w:tc>
        <w:tc>
          <w:tcPr>
            <w:tcW w:w="340" w:type="dxa"/>
            <w:vAlign w:val="center"/>
            <w:tcBorders>
              <w:top w:val="nil"/>
            </w:tcBorders>
          </w:tcPr>
          <w:p>
            <w:pPr>
              <w:pStyle w:val="0"/>
            </w:pPr>
            <w:r>
              <w:rPr>
                <w:sz w:val="20"/>
              </w:rPr>
              <w:t xml:space="preserve">48</w:t>
            </w:r>
          </w:p>
        </w:tc>
        <w:tc>
          <w:tcPr>
            <w:tcW w:w="340" w:type="dxa"/>
            <w:vAlign w:val="center"/>
            <w:tcBorders>
              <w:top w:val="nil"/>
            </w:tcBorders>
          </w:tcPr>
          <w:p>
            <w:pPr>
              <w:pStyle w:val="0"/>
            </w:pPr>
            <w:r>
              <w:rPr>
                <w:sz w:val="20"/>
              </w:rPr>
              <w:t xml:space="preserve">47</w:t>
            </w:r>
          </w:p>
        </w:tc>
        <w:tc>
          <w:tcPr>
            <w:tcW w:w="396" w:type="dxa"/>
            <w:vAlign w:val="center"/>
            <w:tcBorders>
              <w:top w:val="nil"/>
            </w:tcBorders>
          </w:tcPr>
          <w:p>
            <w:pPr>
              <w:pStyle w:val="0"/>
            </w:pPr>
            <w:r>
              <w:rPr>
                <w:sz w:val="20"/>
              </w:rPr>
              <w:t xml:space="preserve">46</w:t>
            </w:r>
          </w:p>
        </w:tc>
        <w:tc>
          <w:tcPr>
            <w:tcW w:w="396" w:type="dxa"/>
            <w:vAlign w:val="center"/>
            <w:tcBorders>
              <w:top w:val="nil"/>
            </w:tcBorders>
          </w:tcPr>
          <w:p>
            <w:pPr>
              <w:pStyle w:val="0"/>
            </w:pPr>
            <w:r>
              <w:rPr>
                <w:sz w:val="20"/>
              </w:rPr>
              <w:t xml:space="preserve">45</w:t>
            </w:r>
          </w:p>
        </w:tc>
        <w:tc>
          <w:tcPr>
            <w:tcW w:w="396" w:type="dxa"/>
            <w:vAlign w:val="center"/>
            <w:tcBorders>
              <w:top w:val="nil"/>
            </w:tcBorders>
          </w:tcPr>
          <w:p>
            <w:pPr>
              <w:pStyle w:val="0"/>
            </w:pPr>
            <w:r>
              <w:rPr>
                <w:sz w:val="20"/>
              </w:rPr>
              <w:t xml:space="preserve">44</w:t>
            </w:r>
          </w:p>
        </w:tc>
        <w:tc>
          <w:tcPr>
            <w:tcW w:w="396" w:type="dxa"/>
            <w:vAlign w:val="center"/>
            <w:tcBorders>
              <w:top w:val="nil"/>
            </w:tcBorders>
          </w:tcPr>
          <w:p>
            <w:pPr>
              <w:pStyle w:val="0"/>
            </w:pPr>
            <w:r>
              <w:rPr>
                <w:sz w:val="20"/>
              </w:rPr>
              <w:t xml:space="preserve">43</w:t>
            </w:r>
          </w:p>
        </w:tc>
        <w:tc>
          <w:tcPr>
            <w:tcW w:w="396" w:type="dxa"/>
            <w:vAlign w:val="center"/>
            <w:tcBorders>
              <w:top w:val="nil"/>
            </w:tcBorders>
          </w:tcPr>
          <w:p>
            <w:pPr>
              <w:pStyle w:val="0"/>
            </w:pPr>
            <w:r>
              <w:rPr>
                <w:sz w:val="20"/>
              </w:rPr>
              <w:t xml:space="preserve">42</w:t>
            </w:r>
          </w:p>
        </w:tc>
        <w:tc>
          <w:tcPr>
            <w:tcW w:w="396" w:type="dxa"/>
            <w:vAlign w:val="center"/>
            <w:tcBorders>
              <w:top w:val="nil"/>
            </w:tcBorders>
          </w:tcPr>
          <w:p>
            <w:pPr>
              <w:pStyle w:val="0"/>
            </w:pPr>
            <w:r>
              <w:rPr>
                <w:sz w:val="20"/>
              </w:rPr>
              <w:t xml:space="preserve">41</w:t>
            </w:r>
          </w:p>
        </w:tc>
        <w:tc>
          <w:tcPr>
            <w:tcW w:w="396" w:type="dxa"/>
            <w:vAlign w:val="center"/>
            <w:tcBorders>
              <w:top w:val="nil"/>
            </w:tcBorders>
          </w:tcPr>
          <w:p>
            <w:pPr>
              <w:pStyle w:val="0"/>
            </w:pPr>
            <w:r>
              <w:rPr>
                <w:sz w:val="20"/>
              </w:rPr>
              <w:t xml:space="preserve">31</w:t>
            </w:r>
          </w:p>
        </w:tc>
        <w:tc>
          <w:tcPr>
            <w:tcW w:w="396" w:type="dxa"/>
            <w:vAlign w:val="center"/>
            <w:tcBorders>
              <w:top w:val="nil"/>
            </w:tcBorders>
          </w:tcPr>
          <w:p>
            <w:pPr>
              <w:pStyle w:val="0"/>
            </w:pPr>
            <w:r>
              <w:rPr>
                <w:sz w:val="20"/>
              </w:rPr>
              <w:t xml:space="preserve">32</w:t>
            </w:r>
          </w:p>
        </w:tc>
        <w:tc>
          <w:tcPr>
            <w:tcW w:w="396" w:type="dxa"/>
            <w:vAlign w:val="center"/>
            <w:tcBorders>
              <w:top w:val="nil"/>
            </w:tcBorders>
          </w:tcPr>
          <w:p>
            <w:pPr>
              <w:pStyle w:val="0"/>
            </w:pPr>
            <w:r>
              <w:rPr>
                <w:sz w:val="20"/>
              </w:rPr>
              <w:t xml:space="preserve">33</w:t>
            </w:r>
          </w:p>
        </w:tc>
        <w:tc>
          <w:tcPr>
            <w:tcW w:w="396" w:type="dxa"/>
            <w:vAlign w:val="center"/>
            <w:tcBorders>
              <w:top w:val="nil"/>
            </w:tcBorders>
          </w:tcPr>
          <w:p>
            <w:pPr>
              <w:pStyle w:val="0"/>
            </w:pPr>
            <w:r>
              <w:rPr>
                <w:sz w:val="20"/>
              </w:rPr>
              <w:t xml:space="preserve">34</w:t>
            </w:r>
          </w:p>
        </w:tc>
        <w:tc>
          <w:tcPr>
            <w:tcW w:w="396" w:type="dxa"/>
            <w:vAlign w:val="center"/>
            <w:tcBorders>
              <w:top w:val="nil"/>
            </w:tcBorders>
          </w:tcPr>
          <w:p>
            <w:pPr>
              <w:pStyle w:val="0"/>
            </w:pPr>
            <w:r>
              <w:rPr>
                <w:sz w:val="20"/>
              </w:rPr>
              <w:t xml:space="preserve">35</w:t>
            </w:r>
          </w:p>
        </w:tc>
        <w:tc>
          <w:tcPr>
            <w:tcW w:w="396" w:type="dxa"/>
            <w:vAlign w:val="center"/>
            <w:tcBorders>
              <w:top w:val="nil"/>
            </w:tcBorders>
          </w:tcPr>
          <w:p>
            <w:pPr>
              <w:pStyle w:val="0"/>
            </w:pPr>
            <w:r>
              <w:rPr>
                <w:sz w:val="20"/>
              </w:rPr>
              <w:t xml:space="preserve">36</w:t>
            </w:r>
          </w:p>
        </w:tc>
        <w:tc>
          <w:tcPr>
            <w:tcW w:w="396" w:type="dxa"/>
            <w:vAlign w:val="center"/>
            <w:tcBorders>
              <w:top w:val="nil"/>
            </w:tcBorders>
          </w:tcPr>
          <w:p>
            <w:pPr>
              <w:pStyle w:val="0"/>
            </w:pPr>
            <w:r>
              <w:rPr>
                <w:sz w:val="20"/>
              </w:rPr>
              <w:t xml:space="preserve">37</w:t>
            </w:r>
          </w:p>
        </w:tc>
        <w:tc>
          <w:tcPr>
            <w:tcW w:w="396" w:type="dxa"/>
            <w:vAlign w:val="center"/>
            <w:tcBorders>
              <w:top w:val="nil"/>
            </w:tcBorders>
          </w:tcPr>
          <w:p>
            <w:pPr>
              <w:pStyle w:val="0"/>
            </w:pPr>
            <w:r>
              <w:rPr>
                <w:sz w:val="20"/>
              </w:rPr>
              <w:t xml:space="preserve">38</w:t>
            </w:r>
          </w:p>
        </w:tc>
      </w:tr>
      <w:tr>
        <w:tc>
          <w:tcPr>
            <w:tcW w:w="2834" w:type="dxa"/>
          </w:tcPr>
          <w:p>
            <w:pPr>
              <w:pStyle w:val="0"/>
            </w:pPr>
            <w:r>
              <w:rPr>
                <w:sz w:val="20"/>
              </w:rPr>
              <w:t xml:space="preserve">Диагноз и заключение врача</w:t>
            </w:r>
          </w:p>
        </w:tc>
        <w:tc>
          <w:tcPr>
            <w:gridSpan w:val="16"/>
            <w:tcW w:w="6224" w:type="dxa"/>
          </w:tcPr>
          <w:p>
            <w:pPr>
              <w:pStyle w:val="0"/>
            </w:pPr>
            <w:r>
              <w:rPr>
                <w:sz w:val="20"/>
              </w:rPr>
            </w:r>
          </w:p>
        </w:tc>
      </w:tr>
      <w:tr>
        <w:tc>
          <w:tcPr>
            <w:tcW w:w="2834" w:type="dxa"/>
          </w:tcPr>
          <w:p>
            <w:pPr>
              <w:pStyle w:val="0"/>
            </w:pPr>
            <w:r>
              <w:rPr>
                <w:sz w:val="20"/>
              </w:rPr>
              <w:t xml:space="preserve">Проведенное лечение, дата следующей явки</w:t>
            </w:r>
          </w:p>
        </w:tc>
        <w:tc>
          <w:tcPr>
            <w:gridSpan w:val="16"/>
            <w:tcW w:w="6224" w:type="dxa"/>
          </w:tcPr>
          <w:p>
            <w:pPr>
              <w:pStyle w:val="0"/>
            </w:pPr>
            <w:r>
              <w:rPr>
                <w:sz w:val="20"/>
              </w:rPr>
            </w:r>
          </w:p>
        </w:tc>
      </w:tr>
    </w:tbl>
    <w:p>
      <w:pPr>
        <w:pStyle w:val="0"/>
        <w:jc w:val="both"/>
      </w:pPr>
      <w:r>
        <w:rPr>
          <w:sz w:val="20"/>
        </w:rPr>
      </w:r>
    </w:p>
    <w:p>
      <w:pPr>
        <w:pStyle w:val="1"/>
        <w:jc w:val="both"/>
      </w:pPr>
      <w:r>
        <w:rPr>
          <w:sz w:val="20"/>
        </w:rPr>
        <w:t xml:space="preserve">5. Диспансерное наблюдение</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964"/>
        <w:gridCol w:w="5712"/>
        <w:gridCol w:w="2324"/>
      </w:tblGrid>
      <w:tr>
        <w:tblPrEx>
          <w:tblBorders>
            <w:insideH w:val="single" w:sz="4"/>
          </w:tblBorders>
        </w:tblPrEx>
        <w:tc>
          <w:tcPr>
            <w:tcW w:w="964" w:type="dxa"/>
            <w:tcBorders>
              <w:top w:val="single" w:sz="4"/>
              <w:bottom w:val="single" w:sz="4"/>
            </w:tcBorders>
          </w:tcPr>
          <w:p>
            <w:pPr>
              <w:pStyle w:val="0"/>
              <w:jc w:val="center"/>
            </w:pPr>
            <w:r>
              <w:rPr>
                <w:sz w:val="20"/>
              </w:rPr>
              <w:t xml:space="preserve">Дата</w:t>
            </w:r>
          </w:p>
        </w:tc>
        <w:tc>
          <w:tcPr>
            <w:tcW w:w="5712" w:type="dxa"/>
            <w:tcBorders>
              <w:top w:val="single" w:sz="4"/>
              <w:bottom w:val="single" w:sz="4"/>
            </w:tcBorders>
          </w:tcPr>
          <w:p>
            <w:pPr>
              <w:pStyle w:val="0"/>
              <w:jc w:val="center"/>
            </w:pPr>
            <w:r>
              <w:rPr>
                <w:sz w:val="20"/>
              </w:rPr>
              <w:t xml:space="preserve">Жалобы, анамнез (постоянно применяемые лекарственные препараты и др.), объективные данные осмотра, диагноз, заключение о допуске к полетам (работе), назначения, номер больничного листка, дата следующей явки и другое.</w:t>
            </w:r>
          </w:p>
        </w:tc>
        <w:tc>
          <w:tcPr>
            <w:tcW w:w="2324" w:type="dxa"/>
            <w:tcBorders>
              <w:top w:val="single" w:sz="4"/>
              <w:bottom w:val="single" w:sz="4"/>
            </w:tcBorders>
          </w:tcPr>
          <w:p>
            <w:pPr>
              <w:pStyle w:val="0"/>
              <w:jc w:val="center"/>
            </w:pPr>
            <w:r>
              <w:rPr>
                <w:sz w:val="20"/>
              </w:rPr>
              <w:t xml:space="preserve">Должность и подпись врача</w:t>
            </w:r>
          </w:p>
        </w:tc>
      </w:tr>
      <w:tr>
        <w:tc>
          <w:tcPr>
            <w:tcW w:w="964" w:type="dxa"/>
            <w:tcBorders>
              <w:top w:val="single" w:sz="4"/>
              <w:bottom w:val="nil"/>
            </w:tcBorders>
          </w:tcPr>
          <w:p>
            <w:pPr>
              <w:pStyle w:val="0"/>
            </w:pPr>
            <w:r>
              <w:rPr>
                <w:sz w:val="20"/>
              </w:rPr>
            </w:r>
          </w:p>
        </w:tc>
        <w:tc>
          <w:tcPr>
            <w:tcW w:w="5712" w:type="dxa"/>
            <w:tcBorders>
              <w:top w:val="single" w:sz="4"/>
              <w:bottom w:val="nil"/>
            </w:tcBorders>
          </w:tcPr>
          <w:p>
            <w:pPr>
              <w:pStyle w:val="0"/>
            </w:pPr>
            <w:r>
              <w:rPr>
                <w:sz w:val="20"/>
              </w:rPr>
            </w:r>
          </w:p>
        </w:tc>
        <w:tc>
          <w:tcPr>
            <w:tcW w:w="2324" w:type="dxa"/>
            <w:tcBorders>
              <w:top w:val="single" w:sz="4"/>
              <w:bottom w:val="nil"/>
            </w:tcBorders>
          </w:tcPr>
          <w:p>
            <w:pPr>
              <w:pStyle w:val="0"/>
            </w:pPr>
            <w:r>
              <w:rPr>
                <w:sz w:val="20"/>
              </w:rPr>
            </w:r>
          </w:p>
        </w:tc>
      </w:tr>
      <w:tr>
        <w:tc>
          <w:tcPr>
            <w:tcW w:w="964" w:type="dxa"/>
            <w:tcBorders>
              <w:top w:val="nil"/>
              <w:bottom w:val="nil"/>
            </w:tcBorders>
          </w:tcPr>
          <w:p>
            <w:pPr>
              <w:pStyle w:val="0"/>
            </w:pPr>
            <w:r>
              <w:rPr>
                <w:sz w:val="20"/>
              </w:rPr>
            </w:r>
          </w:p>
        </w:tc>
        <w:tc>
          <w:tcPr>
            <w:tcW w:w="5712" w:type="dxa"/>
            <w:tcBorders>
              <w:top w:val="nil"/>
              <w:bottom w:val="nil"/>
            </w:tcBorders>
          </w:tcPr>
          <w:p>
            <w:pPr>
              <w:pStyle w:val="0"/>
            </w:pPr>
            <w:r>
              <w:rPr>
                <w:sz w:val="20"/>
              </w:rPr>
            </w:r>
          </w:p>
        </w:tc>
        <w:tc>
          <w:tcPr>
            <w:tcW w:w="2324" w:type="dxa"/>
            <w:tcBorders>
              <w:top w:val="nil"/>
              <w:bottom w:val="nil"/>
            </w:tcBorders>
          </w:tcPr>
          <w:p>
            <w:pPr>
              <w:pStyle w:val="0"/>
            </w:pPr>
            <w:r>
              <w:rPr>
                <w:sz w:val="20"/>
              </w:rPr>
            </w:r>
          </w:p>
        </w:tc>
      </w:tr>
      <w:tr>
        <w:tc>
          <w:tcPr>
            <w:tcW w:w="964" w:type="dxa"/>
            <w:tcBorders>
              <w:top w:val="nil"/>
              <w:bottom w:val="single" w:sz="4"/>
            </w:tcBorders>
          </w:tcPr>
          <w:p>
            <w:pPr>
              <w:pStyle w:val="0"/>
            </w:pPr>
            <w:r>
              <w:rPr>
                <w:sz w:val="20"/>
              </w:rPr>
            </w:r>
          </w:p>
        </w:tc>
        <w:tc>
          <w:tcPr>
            <w:tcW w:w="5712" w:type="dxa"/>
            <w:tcBorders>
              <w:top w:val="nil"/>
              <w:bottom w:val="single" w:sz="4"/>
            </w:tcBorders>
          </w:tcPr>
          <w:p>
            <w:pPr>
              <w:pStyle w:val="0"/>
            </w:pPr>
            <w:r>
              <w:rPr>
                <w:sz w:val="20"/>
              </w:rPr>
            </w:r>
          </w:p>
        </w:tc>
        <w:tc>
          <w:tcPr>
            <w:tcW w:w="2324" w:type="dxa"/>
            <w:tcBorders>
              <w:top w:val="nil"/>
              <w:bottom w:val="single" w:sz="4"/>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Порядку</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1"/>
        <w:jc w:val="both"/>
      </w:pPr>
      <w:r>
        <w:rPr>
          <w:sz w:val="20"/>
        </w:rPr>
        <w:t xml:space="preserve">          СОГЛАСОВАНО                                 УТВЕРЖДАЮ</w:t>
      </w:r>
    </w:p>
    <w:p>
      <w:pPr>
        <w:pStyle w:val="1"/>
        <w:jc w:val="both"/>
      </w:pPr>
      <w:r>
        <w:rPr>
          <w:sz w:val="20"/>
        </w:rPr>
        <w:t xml:space="preserve">  Руководитель авиапредприятия                   Председатель ВЛЭК ГА</w:t>
      </w:r>
    </w:p>
    <w:p>
      <w:pPr>
        <w:pStyle w:val="1"/>
        <w:jc w:val="both"/>
      </w:pPr>
      <w:r>
        <w:rPr>
          <w:sz w:val="20"/>
        </w:rPr>
        <w:t xml:space="preserve">  ____________________________              _____________________________</w:t>
      </w:r>
    </w:p>
    <w:p>
      <w:pPr>
        <w:pStyle w:val="1"/>
        <w:jc w:val="both"/>
      </w:pPr>
      <w:r>
        <w:rPr>
          <w:sz w:val="20"/>
        </w:rPr>
        <w:t xml:space="preserve">    "__" __________ ____ г.                    "__" __________ ____ г.</w:t>
      </w:r>
    </w:p>
    <w:p>
      <w:pPr>
        <w:pStyle w:val="1"/>
        <w:jc w:val="both"/>
      </w:pPr>
      <w:r>
        <w:rPr>
          <w:sz w:val="20"/>
        </w:rPr>
      </w:r>
    </w:p>
    <w:bookmarkStart w:id="4761" w:name="P4761"/>
    <w:bookmarkEnd w:id="4761"/>
    <w:p>
      <w:pPr>
        <w:pStyle w:val="1"/>
        <w:jc w:val="both"/>
      </w:pPr>
      <w:r>
        <w:rPr>
          <w:sz w:val="20"/>
        </w:rPr>
        <w:t xml:space="preserve">                            ЗАКЛЮЧИТЕЛЬНЫЙ АКТ</w:t>
      </w:r>
    </w:p>
    <w:p>
      <w:pPr>
        <w:pStyle w:val="1"/>
        <w:jc w:val="both"/>
      </w:pPr>
      <w:r>
        <w:rPr>
          <w:sz w:val="20"/>
        </w:rPr>
        <w:t xml:space="preserve">              по результатам медицинского освидетельствования</w:t>
      </w:r>
    </w:p>
    <w:p>
      <w:pPr>
        <w:pStyle w:val="1"/>
        <w:jc w:val="both"/>
      </w:pPr>
      <w:r>
        <w:rPr>
          <w:sz w:val="20"/>
        </w:rPr>
        <w:t xml:space="preserve">                  членов летного экипажа, диспетчеров УВД</w:t>
      </w:r>
    </w:p>
    <w:p>
      <w:pPr>
        <w:pStyle w:val="1"/>
        <w:jc w:val="both"/>
      </w:pPr>
      <w:r>
        <w:rPr>
          <w:sz w:val="20"/>
        </w:rPr>
        <w:t xml:space="preserve">___________________________________________________________________________</w:t>
      </w:r>
    </w:p>
    <w:p>
      <w:pPr>
        <w:pStyle w:val="1"/>
        <w:jc w:val="both"/>
      </w:pPr>
      <w:r>
        <w:rPr>
          <w:sz w:val="20"/>
        </w:rPr>
        <w:t xml:space="preserve">             авиапредприятия, организации гражданской авиации,</w:t>
      </w:r>
    </w:p>
    <w:p>
      <w:pPr>
        <w:pStyle w:val="1"/>
        <w:jc w:val="both"/>
      </w:pPr>
      <w:r>
        <w:rPr>
          <w:sz w:val="20"/>
        </w:rPr>
        <w:t xml:space="preserve">                           проведенного ВЛЭК ГА</w:t>
      </w:r>
    </w:p>
    <w:p>
      <w:pPr>
        <w:pStyle w:val="1"/>
        <w:jc w:val="both"/>
      </w:pPr>
      <w:r>
        <w:rPr>
          <w:sz w:val="20"/>
        </w:rPr>
        <w:t xml:space="preserve">    ___________________________________________________________________</w:t>
      </w:r>
    </w:p>
    <w:p>
      <w:pPr>
        <w:pStyle w:val="1"/>
        <w:jc w:val="both"/>
      </w:pPr>
      <w:r>
        <w:rPr>
          <w:sz w:val="20"/>
        </w:rPr>
        <w:t xml:space="preserve">           в период с "__" __________ по "__" __________ ____ г.</w:t>
      </w:r>
    </w:p>
    <w:p>
      <w:pPr>
        <w:pStyle w:val="1"/>
        <w:jc w:val="both"/>
      </w:pPr>
      <w:r>
        <w:rPr>
          <w:sz w:val="20"/>
        </w:rPr>
      </w:r>
    </w:p>
    <w:p>
      <w:pPr>
        <w:pStyle w:val="1"/>
        <w:jc w:val="both"/>
      </w:pPr>
      <w:r>
        <w:rPr>
          <w:sz w:val="20"/>
        </w:rPr>
        <w:t xml:space="preserve">    1. Признаны негодными:</w:t>
      </w:r>
    </w:p>
    <w:p>
      <w:pPr>
        <w:pStyle w:val="1"/>
        <w:jc w:val="both"/>
      </w:pPr>
      <w:r>
        <w:rPr>
          <w:sz w:val="20"/>
        </w:rPr>
      </w:r>
    </w:p>
    <w:p>
      <w:pPr>
        <w:pStyle w:val="1"/>
        <w:jc w:val="both"/>
      </w:pPr>
      <w:r>
        <w:rPr>
          <w:sz w:val="20"/>
        </w:rPr>
        <w:t xml:space="preserve">N п/п  фамилия, имя, отчество          Обладатель            Причины</w:t>
      </w:r>
    </w:p>
    <w:p>
      <w:pPr>
        <w:pStyle w:val="1"/>
        <w:jc w:val="both"/>
      </w:pPr>
      <w:r>
        <w:rPr>
          <w:sz w:val="20"/>
        </w:rPr>
        <w:t xml:space="preserve">           (при наличии)              свидетельства</w:t>
      </w:r>
    </w:p>
    <w:p>
      <w:pPr>
        <w:pStyle w:val="1"/>
        <w:jc w:val="both"/>
      </w:pPr>
      <w:r>
        <w:rPr>
          <w:sz w:val="20"/>
        </w:rPr>
      </w:r>
    </w:p>
    <w:p>
      <w:pPr>
        <w:pStyle w:val="1"/>
        <w:jc w:val="both"/>
      </w:pPr>
      <w:r>
        <w:rPr>
          <w:sz w:val="20"/>
        </w:rPr>
        <w:t xml:space="preserve">    2.   Нуждаются  в  лечении  (оздоровлении)  с  последующим  медицинским</w:t>
      </w:r>
    </w:p>
    <w:p>
      <w:pPr>
        <w:pStyle w:val="1"/>
        <w:jc w:val="both"/>
      </w:pPr>
      <w:r>
        <w:rPr>
          <w:sz w:val="20"/>
        </w:rPr>
        <w:t xml:space="preserve">    освидетельствованием ВЛЭК ГА:</w:t>
      </w:r>
    </w:p>
    <w:p>
      <w:pPr>
        <w:pStyle w:val="1"/>
        <w:jc w:val="both"/>
      </w:pPr>
      <w:r>
        <w:rPr>
          <w:sz w:val="20"/>
        </w:rPr>
      </w:r>
    </w:p>
    <w:p>
      <w:pPr>
        <w:pStyle w:val="1"/>
        <w:jc w:val="both"/>
      </w:pPr>
      <w:r>
        <w:rPr>
          <w:sz w:val="20"/>
        </w:rPr>
        <w:t xml:space="preserve">N п/п  фамилия, имя, отчество          Обладатель      Рекомендации ВЛЭК ГА</w:t>
      </w:r>
    </w:p>
    <w:p>
      <w:pPr>
        <w:pStyle w:val="1"/>
        <w:jc w:val="both"/>
      </w:pPr>
      <w:r>
        <w:rPr>
          <w:sz w:val="20"/>
        </w:rPr>
        <w:t xml:space="preserve">           (при наличии)              свидетельства</w:t>
      </w:r>
    </w:p>
    <w:p>
      <w:pPr>
        <w:pStyle w:val="1"/>
        <w:jc w:val="both"/>
      </w:pPr>
      <w:r>
        <w:rPr>
          <w:sz w:val="20"/>
        </w:rPr>
      </w:r>
    </w:p>
    <w:p>
      <w:pPr>
        <w:pStyle w:val="1"/>
        <w:jc w:val="both"/>
      </w:pPr>
      <w:r>
        <w:rPr>
          <w:sz w:val="20"/>
        </w:rPr>
        <w:t xml:space="preserve">    3. Подлежат лечению (оздоровлению):</w:t>
      </w:r>
    </w:p>
    <w:p>
      <w:pPr>
        <w:pStyle w:val="1"/>
        <w:jc w:val="both"/>
      </w:pPr>
      <w:r>
        <w:rPr>
          <w:sz w:val="20"/>
        </w:rPr>
      </w:r>
    </w:p>
    <w:p>
      <w:pPr>
        <w:pStyle w:val="1"/>
        <w:jc w:val="both"/>
      </w:pPr>
      <w:r>
        <w:rPr>
          <w:sz w:val="20"/>
        </w:rPr>
        <w:t xml:space="preserve">N п/п  фамилия, имя, отчество          Обладатель      Рекомендации ВЛЭК ГА</w:t>
      </w:r>
    </w:p>
    <w:p>
      <w:pPr>
        <w:pStyle w:val="1"/>
        <w:jc w:val="both"/>
      </w:pPr>
      <w:r>
        <w:rPr>
          <w:sz w:val="20"/>
        </w:rPr>
        <w:t xml:space="preserve">           (при наличии)              свидетельства</w:t>
      </w:r>
    </w:p>
    <w:p>
      <w:pPr>
        <w:pStyle w:val="1"/>
        <w:jc w:val="both"/>
      </w:pPr>
      <w:r>
        <w:rPr>
          <w:sz w:val="20"/>
        </w:rPr>
      </w:r>
    </w:p>
    <w:p>
      <w:pPr>
        <w:pStyle w:val="1"/>
        <w:jc w:val="both"/>
      </w:pPr>
      <w:r>
        <w:rPr>
          <w:sz w:val="20"/>
        </w:rPr>
        <w:t xml:space="preserve">Врач    _____________________________________________________</w:t>
      </w:r>
    </w:p>
    <w:p>
      <w:pPr>
        <w:pStyle w:val="1"/>
        <w:jc w:val="both"/>
      </w:pPr>
      <w:r>
        <w:rPr>
          <w:sz w:val="20"/>
        </w:rPr>
        <w:t xml:space="preserve">                      (подпись, расшифровка)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Порядку</w:t>
      </w:r>
    </w:p>
    <w:p>
      <w:pPr>
        <w:pStyle w:val="0"/>
        <w:jc w:val="both"/>
      </w:pPr>
      <w:r>
        <w:rPr>
          <w:sz w:val="20"/>
        </w:rPr>
      </w:r>
    </w:p>
    <w:bookmarkStart w:id="4796" w:name="P4796"/>
    <w:bookmarkEnd w:id="4796"/>
    <w:p>
      <w:pPr>
        <w:pStyle w:val="2"/>
        <w:jc w:val="center"/>
      </w:pPr>
      <w:r>
        <w:rPr>
          <w:sz w:val="20"/>
        </w:rPr>
        <w:t xml:space="preserve">ПОРЯДОК</w:t>
      </w:r>
    </w:p>
    <w:p>
      <w:pPr>
        <w:pStyle w:val="2"/>
        <w:jc w:val="center"/>
      </w:pPr>
      <w:r>
        <w:rPr>
          <w:sz w:val="20"/>
        </w:rPr>
        <w:t xml:space="preserve">СОЗДАНИЯ И РАБОТЫ ЦЕНТРАЛЬНОЙ ВРАЧЕБНО-ЛЕТНОЙ ЭКСПЕРТНОЙ</w:t>
      </w:r>
    </w:p>
    <w:p>
      <w:pPr>
        <w:pStyle w:val="2"/>
        <w:jc w:val="center"/>
      </w:pPr>
      <w:r>
        <w:rPr>
          <w:sz w:val="20"/>
        </w:rPr>
        <w:t xml:space="preserve">КОМИССИИ, ВРАЧЕБНО-ЛЕТНЫХ ЭКСПЕРТНЫХ КОМИССИЙ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Центральная врачебно-летная экспертная комиссия (далее - ЦВЛЭК ГА) и врачебно-летные экспертные комиссии (далее - ВЛЭК ГА) создаются на основании приказа руководителя медицинской организации, имеющей лицензию на осуществление медицинской деятельности, предусматривающей в том числе выполнение работ (оказание услуг) по врачебно-летной экспертизе.</w:t>
      </w:r>
    </w:p>
    <w:p>
      <w:pPr>
        <w:pStyle w:val="0"/>
        <w:spacing w:before="200" w:line-rule="auto"/>
        <w:ind w:firstLine="540"/>
        <w:jc w:val="both"/>
      </w:pPr>
      <w:r>
        <w:rPr>
          <w:sz w:val="20"/>
        </w:rPr>
        <w:t xml:space="preserve">1.1. ЦВЛЭК ГА создается в медицинской организации, находящейся в ведении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w:t>
      </w:r>
    </w:p>
    <w:p>
      <w:pPr>
        <w:pStyle w:val="0"/>
        <w:spacing w:before="200" w:line-rule="auto"/>
        <w:ind w:firstLine="540"/>
        <w:jc w:val="both"/>
      </w:pPr>
      <w:r>
        <w:rPr>
          <w:sz w:val="20"/>
        </w:rPr>
        <w:t xml:space="preserve">1.2. Персональный состав центральной врачебно-летной экспертной комиссии, перечень врачебно-летных экспертных комиссий и их персональный состав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&lt;1&gt; (далее - уполномоченный орган)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80" w:tooltip="Постановление Правительства РФ от 30.07.2004 N 396 (ред. от 31.07.2025) &quot;Об утверждении Положения о Федеральном агентстве воздушного транспорта&quot; {КонсультантПлюс}">
        <w:r>
          <w:rPr>
            <w:sz w:val="20"/>
            <w:color w:val="0000ff"/>
          </w:rPr>
          <w:t xml:space="preserve">Пункт 1</w:t>
        </w:r>
      </w:hyperlink>
      <w:r>
        <w:rPr>
          <w:sz w:val="20"/>
        </w:rP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w:t>
      </w:r>
    </w:p>
    <w:p>
      <w:pPr>
        <w:pStyle w:val="0"/>
        <w:jc w:val="both"/>
      </w:pPr>
      <w:r>
        <w:rPr>
          <w:sz w:val="20"/>
        </w:rPr>
        <w:t xml:space="preserve">(в ред. </w:t>
      </w:r>
      <w:hyperlink w:history="0" r:id="rId18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&lt;2&gt; </w:t>
      </w:r>
      <w:hyperlink w:history="0" r:id="rId182" w:tooltip="&quot;Воздушный кодекс Российской Федерации&quot; от 19.03.1997 N 60-ФЗ (ред. от 31.07.2025) {КонсультантПлюс}">
        <w:r>
          <w:rPr>
            <w:sz w:val="20"/>
            <w:color w:val="0000ff"/>
          </w:rPr>
          <w:t xml:space="preserve">Пункт 5 статьи 53.1</w:t>
        </w:r>
      </w:hyperlink>
      <w:r>
        <w:rPr>
          <w:sz w:val="20"/>
        </w:rPr>
        <w:t xml:space="preserve"> Воздушного кодекса Российской Федерации.</w:t>
      </w:r>
    </w:p>
    <w:p>
      <w:pPr>
        <w:pStyle w:val="0"/>
        <w:jc w:val="both"/>
      </w:pPr>
      <w:r>
        <w:rPr>
          <w:sz w:val="20"/>
        </w:rPr>
        <w:t xml:space="preserve">(в ред. </w:t>
      </w:r>
      <w:hyperlink w:history="0" r:id="rId18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0"/>
        <w:ind w:firstLine="540"/>
        <w:jc w:val="both"/>
      </w:pPr>
      <w:r>
        <w:rPr>
          <w:sz w:val="20"/>
        </w:rPr>
        <w:t xml:space="preserve">2. В состав ЦВЛЭК ГА входят: медицинский эксперт - председатель, заместитель председателя, врачи-специалисты (врач-терапевт, врач-невролог, врач-хирург, врач-оториноларинголог, врач-офтальмолог, врач-кардиолог, врач-психиатр, врач - психиатр-нарколог, врач-профпатолог), врач-методист, медицинский психолог, секретарь (из числа специалистов со средним профессиональным (медицинским) образованием).</w:t>
      </w:r>
    </w:p>
    <w:p>
      <w:pPr>
        <w:pStyle w:val="0"/>
        <w:jc w:val="both"/>
      </w:pPr>
      <w:r>
        <w:rPr>
          <w:sz w:val="20"/>
        </w:rPr>
        <w:t xml:space="preserve">(в ред. </w:t>
      </w:r>
      <w:hyperlink w:history="0" r:id="rId18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2.1. В состав ВЛЭК ГА входят: медицинский эксперт - председатель, заместитель председателя, врачи-специалисты (врач-терапевт, врач-невролог, врач-хирург, врач-оториноларинголог, врач-офтальмолог), врач-профпатолог, медицинский психолог, секретарь (из числа специалистов со средним профессиональным (медицинским) образованием).</w:t>
      </w:r>
    </w:p>
    <w:p>
      <w:pPr>
        <w:pStyle w:val="0"/>
        <w:jc w:val="both"/>
      </w:pPr>
      <w:r>
        <w:rPr>
          <w:sz w:val="20"/>
        </w:rPr>
        <w:t xml:space="preserve">(в ред. </w:t>
      </w:r>
      <w:hyperlink w:history="0" r:id="rId18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2.2. Допускается отсутствие в составе ВЛЭК ГА должности врача-профпатолога при наличии сертификата (аккредитации) по специальности "Профпатология" у председателя или одного из членов ВЛЭК ГА.</w:t>
      </w:r>
    </w:p>
    <w:p>
      <w:pPr>
        <w:pStyle w:val="0"/>
        <w:spacing w:before="200" w:line-rule="auto"/>
        <w:ind w:firstLine="540"/>
        <w:jc w:val="both"/>
      </w:pPr>
      <w:r>
        <w:rPr>
          <w:sz w:val="20"/>
        </w:rPr>
        <w:t xml:space="preserve">2.3. Допускается создание выездной врачебно-летной экспертной комиссии в медицинской организации и организациях, в структуре которых созданы ВЛЭК ГА. Члены выездной мобильной медицинской бригады должны соответствовать требованиям, предъявляемым к членам ВЛЭК ГА.</w:t>
      </w:r>
    </w:p>
    <w:p>
      <w:pPr>
        <w:pStyle w:val="0"/>
        <w:spacing w:before="200" w:line-rule="auto"/>
        <w:ind w:firstLine="540"/>
        <w:jc w:val="both"/>
      </w:pPr>
      <w:r>
        <w:rPr>
          <w:sz w:val="20"/>
        </w:rPr>
        <w:t xml:space="preserve">3. Положение о ВЛЭК ГА (ЦВЛЭК ГА), регламентирующее цели, задачи и функции, порядок работы, учета количества проведенных медицинских освидетельствований и представления отчетности по итогам деятельности, утверждаются руководителем медицинской организации, в которой создана ВЛЭК ГА (ЦВЛЭК ГА).</w:t>
      </w:r>
    </w:p>
    <w:p>
      <w:pPr>
        <w:pStyle w:val="0"/>
        <w:spacing w:before="200" w:line-rule="auto"/>
        <w:ind w:firstLine="540"/>
        <w:jc w:val="both"/>
      </w:pPr>
      <w:r>
        <w:rPr>
          <w:sz w:val="20"/>
        </w:rPr>
        <w:t xml:space="preserve">4. Внутренний контроль качества медицинского освидетельствования ВЛЭК ГА (ЦВЛЭК ГА) осуществляется в соответствии требованиями нормативных правовых актов в сфере здравоохранения, для чего медицинской организацией разрабатывается положение о порядке организации и проведения внутреннего контроля качества и безопасности медицинской деятельности, в том числе медицинского освидетельствования.</w:t>
      </w:r>
    </w:p>
    <w:p>
      <w:pPr>
        <w:pStyle w:val="0"/>
        <w:spacing w:before="200" w:line-rule="auto"/>
        <w:ind w:firstLine="540"/>
        <w:jc w:val="both"/>
      </w:pPr>
      <w:r>
        <w:rPr>
          <w:sz w:val="20"/>
        </w:rPr>
        <w:t xml:space="preserve">5. Информация об адресах и телефонах центральной врачебно-летной экспертной комиссии, врачебно-летных экспертных комиссий, медицинских экспертов, графике работы и области их полномочий публикуется на официальном сайте органа по выдаче свидетельств в информационно-телекоммуникационной сети "Интернет".</w:t>
      </w:r>
    </w:p>
    <w:p>
      <w:pPr>
        <w:pStyle w:val="0"/>
        <w:spacing w:before="200" w:line-rule="auto"/>
        <w:ind w:firstLine="540"/>
        <w:jc w:val="both"/>
      </w:pPr>
      <w:r>
        <w:rPr>
          <w:sz w:val="20"/>
        </w:rPr>
        <w:t xml:space="preserve">6. ВЛЭК ГА (ЦВЛЭК ГА) возглавляет медицинский эксперт - председатель ВЛЭК ГА (ЦВЛЭК ГА), который по результатам медицинского освидетельствования выносит медицинское заключение о годности/негодности кандидатов на получение медицинских заключений к осуществлению функций, предусмотренных соответствующими свидетельствами, квалификационными отметками.</w:t>
      </w:r>
    </w:p>
    <w:p>
      <w:pPr>
        <w:pStyle w:val="0"/>
        <w:spacing w:before="200" w:line-rule="auto"/>
        <w:ind w:firstLine="540"/>
        <w:jc w:val="both"/>
      </w:pPr>
      <w:r>
        <w:rPr>
          <w:sz w:val="20"/>
        </w:rPr>
        <w:t xml:space="preserve">Медицинский эксперт - председатель ВЛЭК ГА (ЦВЛЭК ГА) является ответственным за координацию работы врачей-специалистов ВЛЭК ГА (ЦВЛЭК ГА), обоснованность выносимого медицинского заключения, соблюдение сроков и внутренний контроль качества медицинского освидетельствования.</w:t>
      </w:r>
    </w:p>
    <w:p>
      <w:pPr>
        <w:pStyle w:val="0"/>
        <w:spacing w:before="200" w:line-rule="auto"/>
        <w:ind w:firstLine="540"/>
        <w:jc w:val="both"/>
      </w:pPr>
      <w:r>
        <w:rPr>
          <w:sz w:val="20"/>
        </w:rPr>
        <w:t xml:space="preserve">7. ЦВЛЭК ГА:</w:t>
      </w:r>
    </w:p>
    <w:p>
      <w:pPr>
        <w:pStyle w:val="0"/>
        <w:spacing w:before="200" w:line-rule="auto"/>
        <w:ind w:firstLine="540"/>
        <w:jc w:val="both"/>
      </w:pPr>
      <w:r>
        <w:rPr>
          <w:sz w:val="20"/>
        </w:rPr>
        <w:t xml:space="preserve">проводит обязательное медицинское освидетельствование с выдачей медицинских заключений 1, 2, 3 классов, в том числе после медицинского обследования и лечения в условиях стационара в медицинской организации, находящейся в ведении уполномоченного органа, при вынесении (снятии) официального медицинского заключения, в случаях обжалования и (или) аннулирования результатов обязательного медицинского освидетельствования, проведенного ВЛЭК ГА;</w:t>
      </w:r>
    </w:p>
    <w:p>
      <w:pPr>
        <w:pStyle w:val="0"/>
        <w:jc w:val="both"/>
      </w:pPr>
      <w:r>
        <w:rPr>
          <w:sz w:val="20"/>
        </w:rPr>
        <w:t xml:space="preserve">(в ред. </w:t>
      </w:r>
      <w:hyperlink w:history="0" r:id="rId18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осуществляет:</w:t>
      </w:r>
    </w:p>
    <w:p>
      <w:pPr>
        <w:pStyle w:val="0"/>
        <w:spacing w:before="200" w:line-rule="auto"/>
        <w:ind w:firstLine="540"/>
        <w:jc w:val="both"/>
      </w:pPr>
      <w:r>
        <w:rPr>
          <w:sz w:val="20"/>
        </w:rPr>
        <w:t xml:space="preserve">методическое руководство ВЛЭК ГА;</w:t>
      </w:r>
    </w:p>
    <w:p>
      <w:pPr>
        <w:pStyle w:val="0"/>
        <w:spacing w:before="200" w:line-rule="auto"/>
        <w:ind w:firstLine="540"/>
        <w:jc w:val="both"/>
      </w:pPr>
      <w:r>
        <w:rPr>
          <w:sz w:val="20"/>
        </w:rPr>
        <w:t xml:space="preserve">утверждение заключения ВЛЭК ГА в случаях, установленных настоящим Порядком;</w:t>
      </w:r>
    </w:p>
    <w:p>
      <w:pPr>
        <w:pStyle w:val="0"/>
        <w:spacing w:before="200" w:line-rule="auto"/>
        <w:ind w:firstLine="540"/>
        <w:jc w:val="both"/>
      </w:pPr>
      <w:r>
        <w:rPr>
          <w:sz w:val="20"/>
        </w:rPr>
        <w:t xml:space="preserve">консультирование медицинских экспертов-председателей, врачей-специалистов ВЛЭК ГА в том числе с использованием телемедицинских технологий;</w:t>
      </w:r>
    </w:p>
    <w:p>
      <w:pPr>
        <w:pStyle w:val="0"/>
        <w:spacing w:before="200" w:line-rule="auto"/>
        <w:ind w:firstLine="540"/>
        <w:jc w:val="both"/>
      </w:pPr>
      <w:r>
        <w:rPr>
          <w:sz w:val="20"/>
        </w:rPr>
        <w:t xml:space="preserve">внесение в медицинское заключение ограничений, установленных ВЛЭК ГА (ЦВЛЭК ГА) по результатам медицинского освидетельствования, и их снятие;</w:t>
      </w:r>
    </w:p>
    <w:p>
      <w:pPr>
        <w:pStyle w:val="0"/>
        <w:spacing w:before="200" w:line-rule="auto"/>
        <w:ind w:firstLine="540"/>
        <w:jc w:val="both"/>
      </w:pPr>
      <w:r>
        <w:rPr>
          <w:sz w:val="20"/>
        </w:rPr>
        <w:t xml:space="preserve">информирование полномочного органа по выдаче свидетельств о случаях представления недостоверной информации или фальсифицированной документации освидетельствуемыми лицами;</w:t>
      </w:r>
    </w:p>
    <w:p>
      <w:pPr>
        <w:pStyle w:val="0"/>
        <w:spacing w:before="200" w:line-rule="auto"/>
        <w:ind w:firstLine="540"/>
        <w:jc w:val="both"/>
      </w:pPr>
      <w:r>
        <w:rPr>
          <w:sz w:val="20"/>
        </w:rPr>
        <w:t xml:space="preserve">формирование ежегодного отчета о результатах проведения ЦВЛЭК ГА, ВЛЭК ГА проверки соответствия состояния здоровья освидетельствуемых лиц и его представление в полномочный орган в области гражданской авиации не позднее 31 марта года, следующего за отчетным.</w:t>
      </w:r>
    </w:p>
    <w:p>
      <w:pPr>
        <w:pStyle w:val="0"/>
        <w:spacing w:before="200" w:line-rule="auto"/>
        <w:ind w:firstLine="540"/>
        <w:jc w:val="both"/>
      </w:pPr>
      <w:r>
        <w:rPr>
          <w:sz w:val="20"/>
        </w:rPr>
        <w:t xml:space="preserve">анализ случаев потери работоспособности членами летных экипажей в полете, анализ состояния здоровья членов летных экипажей и диспетчеров управления воздушным движением.</w:t>
      </w:r>
    </w:p>
    <w:p>
      <w:pPr>
        <w:pStyle w:val="0"/>
        <w:jc w:val="both"/>
      </w:pPr>
      <w:r>
        <w:rPr>
          <w:sz w:val="20"/>
        </w:rPr>
        <w:t xml:space="preserve">(абзац введен </w:t>
      </w:r>
      <w:hyperlink w:history="0" r:id="rId18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spacing w:before="200" w:line-rule="auto"/>
        <w:ind w:firstLine="540"/>
        <w:jc w:val="both"/>
      </w:pPr>
      <w:r>
        <w:rPr>
          <w:sz w:val="20"/>
        </w:rPr>
        <w:t xml:space="preserve">8. ВЛЭК ГА:</w:t>
      </w:r>
    </w:p>
    <w:p>
      <w:pPr>
        <w:pStyle w:val="0"/>
        <w:spacing w:before="200" w:line-rule="auto"/>
        <w:ind w:firstLine="540"/>
        <w:jc w:val="both"/>
      </w:pPr>
      <w:r>
        <w:rPr>
          <w:sz w:val="20"/>
        </w:rPr>
        <w:t xml:space="preserve">проводит обязательное медицинское освидетельствование с выдачей медицинских заключений 1, 2, 3 классов;</w:t>
      </w:r>
    </w:p>
    <w:p>
      <w:pPr>
        <w:pStyle w:val="0"/>
        <w:spacing w:before="200" w:line-rule="auto"/>
        <w:ind w:firstLine="540"/>
        <w:jc w:val="both"/>
      </w:pPr>
      <w:r>
        <w:rPr>
          <w:sz w:val="20"/>
        </w:rPr>
        <w:t xml:space="preserve">осуществляет:</w:t>
      </w:r>
    </w:p>
    <w:p>
      <w:pPr>
        <w:pStyle w:val="0"/>
        <w:spacing w:before="200" w:line-rule="auto"/>
        <w:ind w:firstLine="540"/>
        <w:jc w:val="both"/>
      </w:pPr>
      <w:r>
        <w:rPr>
          <w:sz w:val="20"/>
        </w:rPr>
        <w:t xml:space="preserve">составление рекомендаций по проведению лечебно-оздоровительных мероприятий, реабилитационному и санаторно-курортному лечению освидетельствуемых лиц;</w:t>
      </w:r>
    </w:p>
    <w:p>
      <w:pPr>
        <w:pStyle w:val="0"/>
        <w:spacing w:before="200" w:line-rule="auto"/>
        <w:ind w:firstLine="540"/>
        <w:jc w:val="both"/>
      </w:pPr>
      <w:r>
        <w:rPr>
          <w:sz w:val="20"/>
        </w:rPr>
        <w:t xml:space="preserve">медицинское наблюдение за состоянием здоровья освидетельствованных лиц в период между обязательными медицинскими освидетельствованиями;</w:t>
      </w:r>
    </w:p>
    <w:p>
      <w:pPr>
        <w:pStyle w:val="0"/>
        <w:spacing w:before="200" w:line-rule="auto"/>
        <w:ind w:firstLine="540"/>
        <w:jc w:val="both"/>
      </w:pPr>
      <w:r>
        <w:rPr>
          <w:sz w:val="20"/>
        </w:rPr>
        <w:t xml:space="preserve">направление в случаях, установленных настоящим Порядком, медицинской документации и специалистов авиационного персонала гражданской авиации в ЦВЛЭК ГА и медицинскую организацию, находящуюся в ведении уполномоченного органа;</w:t>
      </w:r>
    </w:p>
    <w:p>
      <w:pPr>
        <w:pStyle w:val="0"/>
        <w:jc w:val="both"/>
      </w:pPr>
      <w:r>
        <w:rPr>
          <w:sz w:val="20"/>
        </w:rPr>
        <w:t xml:space="preserve">(в ред. </w:t>
      </w:r>
      <w:hyperlink w:history="0" r:id="rId18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внесение в медицинское заключение ограничений, установленных по результатам медицинского освидетельствования, и их снятие;</w:t>
      </w:r>
    </w:p>
    <w:p>
      <w:pPr>
        <w:pStyle w:val="0"/>
        <w:spacing w:before="200" w:line-rule="auto"/>
        <w:ind w:firstLine="540"/>
        <w:jc w:val="both"/>
      </w:pPr>
      <w:r>
        <w:rPr>
          <w:sz w:val="20"/>
        </w:rPr>
        <w:t xml:space="preserve">информирование ЦВЛЭК ГА о случаях представления недостоверной информации или фальсифицированной документации освидетельствуемыми лицами;</w:t>
      </w:r>
    </w:p>
    <w:p>
      <w:pPr>
        <w:pStyle w:val="0"/>
        <w:spacing w:before="200" w:line-rule="auto"/>
        <w:ind w:firstLine="540"/>
        <w:jc w:val="both"/>
      </w:pPr>
      <w:r>
        <w:rPr>
          <w:sz w:val="20"/>
        </w:rPr>
        <w:t xml:space="preserve">подготовку ежегодного отчета о результатах проведения проверки соответствия специалистов авиационного персонала гражданской авиации требованиям настоящего Порядка и его направление в ЦВЛЭК ГА не позднее 10 февраля года, следующего за отчетным.</w:t>
      </w:r>
    </w:p>
    <w:bookmarkStart w:id="4844" w:name="P4844"/>
    <w:bookmarkEnd w:id="4844"/>
    <w:p>
      <w:pPr>
        <w:pStyle w:val="0"/>
        <w:spacing w:before="200" w:line-rule="auto"/>
        <w:ind w:firstLine="540"/>
        <w:jc w:val="both"/>
      </w:pPr>
      <w:r>
        <w:rPr>
          <w:sz w:val="20"/>
        </w:rPr>
        <w:t xml:space="preserve">9. ВЛЭК ГА считается допущенной к проведению обязательного медицинского освидетельствования в соответствии с настоящим Порядком с даты включения в утвержденный уполномоченным органом перечень врачебно-летных экспертных комиссий &lt;3&gt; (далее - Перечень).</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89" w:tooltip="Постановление Правительства РФ от 30.07.2004 N 396 (ред. от 31.07.2025) &quot;Об утверждении Положения о Федеральном агентстве воздушного транспорта&quot; {КонсультантПлюс}">
        <w:r>
          <w:rPr>
            <w:sz w:val="20"/>
            <w:color w:val="0000ff"/>
          </w:rPr>
          <w:t xml:space="preserve">Подпункт 5.4.58 пункта 5</w:t>
        </w:r>
      </w:hyperlink>
      <w:r>
        <w:rPr>
          <w:sz w:val="20"/>
        </w:rP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w:t>
      </w:r>
    </w:p>
    <w:p>
      <w:pPr>
        <w:pStyle w:val="0"/>
        <w:ind w:firstLine="540"/>
        <w:jc w:val="both"/>
      </w:pPr>
      <w:r>
        <w:rPr>
          <w:sz w:val="20"/>
        </w:rPr>
      </w:r>
    </w:p>
    <w:p>
      <w:pPr>
        <w:pStyle w:val="0"/>
        <w:ind w:firstLine="540"/>
        <w:jc w:val="both"/>
      </w:pPr>
      <w:r>
        <w:rPr>
          <w:sz w:val="20"/>
        </w:rPr>
        <w:t xml:space="preserve">Перечень должен быть опубликован на официальном сайте уполномоченного органа в информационно-телекоммуникационной сети "Интернет".</w:t>
      </w:r>
    </w:p>
    <w:p>
      <w:pPr>
        <w:pStyle w:val="0"/>
        <w:spacing w:before="200" w:line-rule="auto"/>
        <w:ind w:firstLine="540"/>
        <w:jc w:val="both"/>
      </w:pPr>
      <w:r>
        <w:rPr>
          <w:sz w:val="20"/>
        </w:rPr>
        <w:t xml:space="preserve">Для включения ВЛЭК ГА в Перечень руководитель медицинской организации, в которой создана ВЛЭК ГА, (далее - заявитель) либо уполномоченный представитель заявителя направляет в уполномоченный орган заявление, включающее полное и (или) сокращенное (при наличии) наименование медицинской организации, ее организационно-правовую форму, адрес в пределах места нахождения, идентификационный номер налогоплательщика, номер телефона и адрес электронной почты (при наличии) либо номер телефона и адрес электронной почты (при наличии) уполномоченного представителя заявителя.</w:t>
      </w:r>
    </w:p>
    <w:p>
      <w:pPr>
        <w:pStyle w:val="0"/>
        <w:spacing w:before="200" w:line-rule="auto"/>
        <w:ind w:firstLine="540"/>
        <w:jc w:val="both"/>
      </w:pPr>
      <w:r>
        <w:rPr>
          <w:sz w:val="20"/>
        </w:rPr>
        <w:t xml:space="preserve">Заявление должно быть подписано заявителем либо его уполномоченным представителем с приложением документов, подтверждающих полномочия указанного лица на подписание заявления.</w:t>
      </w:r>
    </w:p>
    <w:p>
      <w:pPr>
        <w:pStyle w:val="0"/>
        <w:spacing w:before="200" w:line-rule="auto"/>
        <w:ind w:firstLine="540"/>
        <w:jc w:val="both"/>
      </w:pPr>
      <w:r>
        <w:rPr>
          <w:sz w:val="20"/>
        </w:rPr>
        <w:t xml:space="preserve">К заявлению должны быть приложены:</w:t>
      </w:r>
    </w:p>
    <w:p>
      <w:pPr>
        <w:pStyle w:val="0"/>
        <w:spacing w:before="200" w:line-rule="auto"/>
        <w:ind w:firstLine="540"/>
        <w:jc w:val="both"/>
      </w:pPr>
      <w:r>
        <w:rPr>
          <w:sz w:val="20"/>
        </w:rPr>
        <w:t xml:space="preserve">приказ руководителя медицинской организации о создании ВЛЭК ГА и ее персональном составе;</w:t>
      </w:r>
    </w:p>
    <w:p>
      <w:pPr>
        <w:pStyle w:val="0"/>
        <w:spacing w:before="200" w:line-rule="auto"/>
        <w:ind w:firstLine="540"/>
        <w:jc w:val="both"/>
      </w:pPr>
      <w:r>
        <w:rPr>
          <w:sz w:val="20"/>
        </w:rPr>
        <w:t xml:space="preserve">копия лицензии на осуществление медицинской деятельности, в том числе выполнение (оказание) работ (услуг) по врачебно-летной экспертизе;</w:t>
      </w:r>
    </w:p>
    <w:p>
      <w:pPr>
        <w:pStyle w:val="0"/>
        <w:spacing w:before="200" w:line-rule="auto"/>
        <w:ind w:firstLine="540"/>
        <w:jc w:val="both"/>
      </w:pPr>
      <w:r>
        <w:rPr>
          <w:sz w:val="20"/>
        </w:rPr>
        <w:t xml:space="preserve">положение о ВЛЭК ГА;</w:t>
      </w:r>
    </w:p>
    <w:p>
      <w:pPr>
        <w:pStyle w:val="0"/>
        <w:spacing w:before="200" w:line-rule="auto"/>
        <w:ind w:firstLine="540"/>
        <w:jc w:val="both"/>
      </w:pPr>
      <w:r>
        <w:rPr>
          <w:sz w:val="20"/>
        </w:rPr>
        <w:t xml:space="preserve">документ, регламентирующий трудовую функцию членов ВЛЭК ГА;</w:t>
      </w:r>
    </w:p>
    <w:p>
      <w:pPr>
        <w:pStyle w:val="0"/>
        <w:spacing w:before="200" w:line-rule="auto"/>
        <w:ind w:firstLine="540"/>
        <w:jc w:val="both"/>
      </w:pPr>
      <w:r>
        <w:rPr>
          <w:sz w:val="20"/>
        </w:rPr>
        <w:t xml:space="preserve">документы об образовании и профессиональной подготовке медицинского эксперта-председателя и членов ВЛЭК ГА:</w:t>
      </w:r>
    </w:p>
    <w:p>
      <w:pPr>
        <w:pStyle w:val="0"/>
        <w:spacing w:before="200" w:line-rule="auto"/>
        <w:ind w:firstLine="540"/>
        <w:jc w:val="both"/>
      </w:pPr>
      <w:r>
        <w:rPr>
          <w:sz w:val="20"/>
        </w:rPr>
        <w:t xml:space="preserve">для врачей-специалистов - копия диплома о высшем медицинском образовании по одной из специальностей: "Лечебное дело", "Педиатрия";</w:t>
      </w:r>
    </w:p>
    <w:p>
      <w:pPr>
        <w:pStyle w:val="0"/>
        <w:spacing w:before="200" w:line-rule="auto"/>
        <w:ind w:firstLine="540"/>
        <w:jc w:val="both"/>
      </w:pPr>
      <w:r>
        <w:rPr>
          <w:sz w:val="20"/>
        </w:rPr>
        <w:t xml:space="preserve">для медицинского психолога - копия диплома о высшем профессиональном образовании по специальности "Клиническая психология" или о высшем профессиональном (психологическом) образовании и профессиональной переподготовке по специальности "Клиническая психология";</w:t>
      </w:r>
    </w:p>
    <w:p>
      <w:pPr>
        <w:pStyle w:val="0"/>
        <w:spacing w:before="200" w:line-rule="auto"/>
        <w:ind w:firstLine="540"/>
        <w:jc w:val="both"/>
      </w:pPr>
      <w:r>
        <w:rPr>
          <w:sz w:val="20"/>
        </w:rPr>
        <w:t xml:space="preserve">копии сертификата специалиста или свидетельства об аккредитации специалиста или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190"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Части 2.1</w:t>
        </w:r>
      </w:hyperlink>
      <w:r>
        <w:rPr>
          <w:sz w:val="20"/>
        </w:rPr>
        <w:t xml:space="preserve">, </w:t>
      </w:r>
      <w:hyperlink w:history="0" r:id="rId191"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3 статьи 69</w:t>
        </w:r>
      </w:hyperlink>
      <w:r>
        <w:rPr>
          <w:sz w:val="20"/>
        </w:rPr>
        <w:t xml:space="preserve"> Федерального закона от 21 ноября 2011 г. N 323-ФЗ "Об основах охраны здоровья граждан в Российской Федерации" (далее - Федеральный закон N 323).</w:t>
      </w:r>
    </w:p>
    <w:p>
      <w:pPr>
        <w:pStyle w:val="0"/>
        <w:ind w:firstLine="540"/>
        <w:jc w:val="both"/>
      </w:pPr>
      <w:r>
        <w:rPr>
          <w:sz w:val="20"/>
        </w:rPr>
      </w:r>
    </w:p>
    <w:p>
      <w:pPr>
        <w:pStyle w:val="0"/>
        <w:ind w:firstLine="540"/>
        <w:jc w:val="both"/>
      </w:pPr>
      <w:r>
        <w:rPr>
          <w:sz w:val="20"/>
        </w:rPr>
        <w:t xml:space="preserve">копии документов о прохождении обучения по дополнительным профессиональным программам &lt;5&gt; по основной медицинской специальности и авиационной медицине;</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92"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Пункт 3 части 2 статьи 73</w:t>
        </w:r>
      </w:hyperlink>
      <w:r>
        <w:rPr>
          <w:sz w:val="20"/>
        </w:rPr>
        <w:t xml:space="preserve"> Федерального закона N 323.</w:t>
      </w:r>
    </w:p>
    <w:p>
      <w:pPr>
        <w:pStyle w:val="0"/>
        <w:ind w:firstLine="540"/>
        <w:jc w:val="both"/>
      </w:pPr>
      <w:r>
        <w:rPr>
          <w:sz w:val="20"/>
        </w:rPr>
      </w:r>
    </w:p>
    <w:p>
      <w:pPr>
        <w:pStyle w:val="0"/>
        <w:ind w:firstLine="540"/>
        <w:jc w:val="both"/>
      </w:pPr>
      <w:r>
        <w:rPr>
          <w:sz w:val="20"/>
        </w:rPr>
        <w:t xml:space="preserve">копия документа о прохождении аттестации для получения квалификационной категории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93"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Пункт 4 части 1 статьи 72</w:t>
        </w:r>
      </w:hyperlink>
      <w:r>
        <w:rPr>
          <w:sz w:val="20"/>
        </w:rPr>
        <w:t xml:space="preserve"> Федерального закона N 323.</w:t>
      </w:r>
    </w:p>
    <w:p>
      <w:pPr>
        <w:pStyle w:val="0"/>
        <w:ind w:firstLine="540"/>
        <w:jc w:val="both"/>
      </w:pPr>
      <w:r>
        <w:rPr>
          <w:sz w:val="20"/>
        </w:rPr>
      </w:r>
    </w:p>
    <w:p>
      <w:pPr>
        <w:pStyle w:val="0"/>
        <w:ind w:firstLine="540"/>
        <w:jc w:val="both"/>
      </w:pPr>
      <w:r>
        <w:rPr>
          <w:sz w:val="20"/>
        </w:rPr>
        <w:t xml:space="preserve">копия трудовой книжки, трудового договора и (или) иных документов, подтверждающих опыт работы в области авиационной медицины и врачебно-летной экспертизы не менее 5 лет (для медицинского эксперта-председателя ВЛЭК ГА);</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Копии представленных документов заверяются заявителем в соответствии с законодательством Российской Федерации.</w:t>
      </w:r>
    </w:p>
    <w:p>
      <w:pPr>
        <w:pStyle w:val="0"/>
        <w:jc w:val="both"/>
      </w:pPr>
      <w:r>
        <w:rPr>
          <w:sz w:val="20"/>
        </w:rPr>
        <w:t xml:space="preserve">(п. 9 в ред. </w:t>
      </w:r>
      <w:hyperlink w:history="0" r:id="rId194"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4875" w:name="P4875"/>
    <w:bookmarkEnd w:id="4875"/>
    <w:p>
      <w:pPr>
        <w:pStyle w:val="0"/>
        <w:spacing w:before="200" w:line-rule="auto"/>
        <w:ind w:firstLine="540"/>
        <w:jc w:val="both"/>
      </w:pPr>
      <w:r>
        <w:rPr>
          <w:sz w:val="20"/>
        </w:rPr>
        <w:t xml:space="preserve">9.1. Заявление и прилагаемые к нему документы представляются заявителем или его уполномоченным представителем в уполномоченный орган непосредственно или направляются заказным почтовым отправлением с уведомлением о вручении.</w:t>
      </w:r>
    </w:p>
    <w:p>
      <w:pPr>
        <w:pStyle w:val="0"/>
        <w:spacing w:before="200" w:line-rule="auto"/>
        <w:ind w:firstLine="540"/>
        <w:jc w:val="both"/>
      </w:pPr>
      <w:r>
        <w:rPr>
          <w:sz w:val="20"/>
        </w:rPr>
        <w:t xml:space="preserve">Заявление и прилагаемые к нему документы принимаются уполномоченным органом по описи прилагаемых документов, копия которой с отметкой о дате приема заявления и прилагаемых к нему документов в день приема должна быть вручена заявителю или его уполномоченному представителю лично или направлена ему заказным почтовым отправлением с уведомлением о вручении.</w:t>
      </w:r>
    </w:p>
    <w:p>
      <w:pPr>
        <w:pStyle w:val="0"/>
        <w:spacing w:before="200" w:line-rule="auto"/>
        <w:ind w:firstLine="540"/>
        <w:jc w:val="both"/>
      </w:pPr>
      <w:r>
        <w:rPr>
          <w:sz w:val="20"/>
        </w:rPr>
        <w:t xml:space="preserve">Уполномоченный орган в течение 5 календарных дней со дня поступления заявления проводит проверку полноты и достоверности сведений, содержащихся в заявлении и прилагаемых к нему документах, на соответствие заявителя требованиям настоящего Порядка.</w:t>
      </w:r>
    </w:p>
    <w:p>
      <w:pPr>
        <w:pStyle w:val="0"/>
        <w:spacing w:before="200" w:line-rule="auto"/>
        <w:ind w:firstLine="540"/>
        <w:jc w:val="both"/>
      </w:pPr>
      <w:r>
        <w:rPr>
          <w:sz w:val="20"/>
        </w:rPr>
        <w:t xml:space="preserve">В случае несоответствия заявления и (или) прилагаемых к нему документов требованиям </w:t>
      </w:r>
      <w:hyperlink w:history="0" w:anchor="P4844" w:tooltip="9. ВЛЭК ГА считается допущенной к проведению обязательного медицинского освидетельствования в соответствии с настоящим Порядком с даты включения в утвержденный уполномоченным органом перечень врачебно-летных экспертных комиссий &lt;3&gt; (далее - Перечень).">
        <w:r>
          <w:rPr>
            <w:sz w:val="20"/>
            <w:color w:val="0000ff"/>
          </w:rPr>
          <w:t xml:space="preserve">пункта 9</w:t>
        </w:r>
      </w:hyperlink>
      <w:r>
        <w:rPr>
          <w:sz w:val="20"/>
        </w:rPr>
        <w:t xml:space="preserve"> настоящего приложения, представления их в неполном объеме, уполномоченный орган в течение 10 календарных дней со дня поступления заявления должен направить заявителю или его уполномоченному представителю заказным почтовым отправлением с уведомлением о вручении или по адресу электронной почты уведомление о необходимости устранения выявленных в заявлении и (или) прилагаемых к заявлению документах нарушений.</w:t>
      </w:r>
    </w:p>
    <w:p>
      <w:pPr>
        <w:pStyle w:val="0"/>
        <w:spacing w:before="200" w:line-rule="auto"/>
        <w:ind w:firstLine="540"/>
        <w:jc w:val="both"/>
      </w:pPr>
      <w:r>
        <w:rPr>
          <w:sz w:val="20"/>
        </w:rPr>
        <w:t xml:space="preserve">Выявленные в заявлении и (или) прилагаемых к заявлению документах нарушения подлежат устранению в срок не позднее 30 рабочих дней со дня получения заявителем или его уполномоченным представителем уведомления, предусмотренного настоящим пунктом.</w:t>
      </w:r>
    </w:p>
    <w:p>
      <w:pPr>
        <w:pStyle w:val="0"/>
        <w:spacing w:before="200" w:line-rule="auto"/>
        <w:ind w:firstLine="540"/>
        <w:jc w:val="both"/>
      </w:pPr>
      <w:r>
        <w:rPr>
          <w:sz w:val="20"/>
        </w:rPr>
        <w:t xml:space="preserve">В случае непоступления заявления об устранении нарушений от заявителя или его уполномоченного представителя в течение 40 рабочих дней со дня получения им уведомления о необходимости устранения выявленных в заявлении и (или) прилагаемых к заявлению документах нарушений или в случае повторного поступления заявления с нарушением требований </w:t>
      </w:r>
      <w:hyperlink w:history="0" w:anchor="P4844" w:tooltip="9. ВЛЭК ГА считается допущенной к проведению обязательного медицинского освидетельствования в соответствии с настоящим Порядком с даты включения в утвержденный уполномоченным органом перечень врачебно-летных экспертных комиссий &lt;3&gt; (далее - Перечень).">
        <w:r>
          <w:rPr>
            <w:sz w:val="20"/>
            <w:color w:val="0000ff"/>
          </w:rPr>
          <w:t xml:space="preserve">пункта 9</w:t>
        </w:r>
      </w:hyperlink>
      <w:r>
        <w:rPr>
          <w:sz w:val="20"/>
        </w:rPr>
        <w:t xml:space="preserve"> настоящего приложения, заявление и прилагаемые к нему документы должны быть возвращены заявителю или его уполномоченному представителю уполномоченным органом с указанием причин возврата лично или направлены заказным почтовым отправлением с уведомлением о вручении.</w:t>
      </w:r>
    </w:p>
    <w:p>
      <w:pPr>
        <w:pStyle w:val="0"/>
        <w:jc w:val="both"/>
      </w:pPr>
      <w:r>
        <w:rPr>
          <w:sz w:val="20"/>
        </w:rPr>
        <w:t xml:space="preserve">(п. 9.1 в ред. </w:t>
      </w:r>
      <w:hyperlink w:history="0" r:id="rId195"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9.2. При соответствии заявления и прилагаемых к нему документов требованиям </w:t>
      </w:r>
      <w:hyperlink w:history="0" w:anchor="P4844" w:tooltip="9. ВЛЭК ГА считается допущенной к проведению обязательного медицинского освидетельствования в соответствии с настоящим Порядком с даты включения в утвержденный уполномоченным органом перечень врачебно-летных экспертных комиссий &lt;3&gt; (далее - Перечень).">
        <w:r>
          <w:rPr>
            <w:sz w:val="20"/>
            <w:color w:val="0000ff"/>
          </w:rPr>
          <w:t xml:space="preserve">пункта 9</w:t>
        </w:r>
      </w:hyperlink>
      <w:r>
        <w:rPr>
          <w:sz w:val="20"/>
        </w:rPr>
        <w:t xml:space="preserve"> настоящего приложения, уполномоченный орган принимает решение о проведении выездной проверки с целью оценки соответствия ВЛЭК ГА требованиям настоящего Порядка.</w:t>
      </w:r>
    </w:p>
    <w:p>
      <w:pPr>
        <w:pStyle w:val="0"/>
        <w:spacing w:before="200" w:line-rule="auto"/>
        <w:ind w:firstLine="540"/>
        <w:jc w:val="both"/>
      </w:pPr>
      <w:r>
        <w:rPr>
          <w:sz w:val="20"/>
        </w:rPr>
        <w:t xml:space="preserve">Для проведения выездной проверки ВЛЭК ГА приказом уполномоченного органа создается комиссия из числа работников уполномоченного органа и его подведомственных организаций &lt;7&gt; (далее - комиссия).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196" w:tooltip="Постановление Правительства РФ от 30.07.2004 N 396 (ред. от 31.07.2025) &quot;Об утверждении Положения о Федеральном агентстве воздушного транспорта&quot; {КонсультантПлюс}">
        <w:r>
          <w:rPr>
            <w:sz w:val="20"/>
            <w:color w:val="0000ff"/>
          </w:rPr>
          <w:t xml:space="preserve">Пункт 4</w:t>
        </w:r>
      </w:hyperlink>
      <w:r>
        <w:rPr>
          <w:sz w:val="20"/>
        </w:rP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w:t>
      </w:r>
    </w:p>
    <w:p>
      <w:pPr>
        <w:pStyle w:val="0"/>
        <w:ind w:firstLine="540"/>
        <w:jc w:val="both"/>
      </w:pPr>
      <w:r>
        <w:rPr>
          <w:sz w:val="20"/>
        </w:rPr>
      </w:r>
    </w:p>
    <w:p>
      <w:pPr>
        <w:pStyle w:val="0"/>
        <w:ind w:firstLine="540"/>
        <w:jc w:val="both"/>
      </w:pPr>
      <w:r>
        <w:rPr>
          <w:sz w:val="20"/>
        </w:rPr>
        <w:t xml:space="preserve">Выездная проверка ВЛЭК ГА должна осуществляться с использованием контрольных карт, которые должны быть опубликованы на официальном сайте уполномоченного органа в информационно-телекоммуникационной сети "Интернет" (далее - контрольные карты). Контрольные карты не должны содержать требований, не установленных настоящим Порядком.</w:t>
      </w:r>
    </w:p>
    <w:p>
      <w:pPr>
        <w:pStyle w:val="0"/>
        <w:spacing w:before="200" w:line-rule="auto"/>
        <w:ind w:firstLine="540"/>
        <w:jc w:val="both"/>
      </w:pPr>
      <w:r>
        <w:rPr>
          <w:sz w:val="20"/>
        </w:rPr>
        <w:t xml:space="preserve">На основании заполнения контрольных карт по результатам выездной проверки ВЛЭК ГА после окончания выездной проверки оформляется акт комиссии, который должен быть подписан всеми членами комиссии и содержать:</w:t>
      </w:r>
    </w:p>
    <w:p>
      <w:pPr>
        <w:pStyle w:val="0"/>
        <w:spacing w:before="200" w:line-rule="auto"/>
        <w:ind w:firstLine="540"/>
        <w:jc w:val="both"/>
      </w:pPr>
      <w:r>
        <w:rPr>
          <w:sz w:val="20"/>
        </w:rPr>
        <w:t xml:space="preserve">дату проведения проверки;</w:t>
      </w:r>
    </w:p>
    <w:p>
      <w:pPr>
        <w:pStyle w:val="0"/>
        <w:spacing w:before="200" w:line-rule="auto"/>
        <w:ind w:firstLine="540"/>
        <w:jc w:val="both"/>
      </w:pPr>
      <w:r>
        <w:rPr>
          <w:sz w:val="20"/>
        </w:rPr>
        <w:t xml:space="preserve">место проведения проверки;</w:t>
      </w:r>
    </w:p>
    <w:p>
      <w:pPr>
        <w:pStyle w:val="0"/>
        <w:spacing w:before="200" w:line-rule="auto"/>
        <w:ind w:firstLine="540"/>
        <w:jc w:val="both"/>
      </w:pPr>
      <w:r>
        <w:rPr>
          <w:sz w:val="20"/>
        </w:rPr>
        <w:t xml:space="preserve">основание для проведения проверки;</w:t>
      </w:r>
    </w:p>
    <w:p>
      <w:pPr>
        <w:pStyle w:val="0"/>
        <w:spacing w:before="200" w:line-rule="auto"/>
        <w:ind w:firstLine="540"/>
        <w:jc w:val="both"/>
      </w:pPr>
      <w:r>
        <w:rPr>
          <w:sz w:val="20"/>
        </w:rPr>
        <w:t xml:space="preserve">полное и (или) сокращенное (при наличии) наименование заявителя;</w:t>
      </w:r>
    </w:p>
    <w:p>
      <w:pPr>
        <w:pStyle w:val="0"/>
        <w:spacing w:before="200" w:line-rule="auto"/>
        <w:ind w:firstLine="540"/>
        <w:jc w:val="both"/>
      </w:pPr>
      <w:r>
        <w:rPr>
          <w:sz w:val="20"/>
        </w:rPr>
        <w:t xml:space="preserve">фамилию, имя, отчество (при наличии) председателя комиссии;</w:t>
      </w:r>
    </w:p>
    <w:p>
      <w:pPr>
        <w:pStyle w:val="0"/>
        <w:spacing w:before="200" w:line-rule="auto"/>
        <w:ind w:firstLine="540"/>
        <w:jc w:val="both"/>
      </w:pPr>
      <w:r>
        <w:rPr>
          <w:sz w:val="20"/>
        </w:rPr>
        <w:t xml:space="preserve">фамилии, имена, отчества (при наличии) членов комиссии;</w:t>
      </w:r>
    </w:p>
    <w:p>
      <w:pPr>
        <w:pStyle w:val="0"/>
        <w:spacing w:before="200" w:line-rule="auto"/>
        <w:ind w:firstLine="540"/>
        <w:jc w:val="both"/>
      </w:pPr>
      <w:r>
        <w:rPr>
          <w:sz w:val="20"/>
        </w:rPr>
        <w:t xml:space="preserve">краткое описание и оценку деятельности ВЛЭК ГА;</w:t>
      </w:r>
    </w:p>
    <w:p>
      <w:pPr>
        <w:pStyle w:val="0"/>
        <w:spacing w:before="200" w:line-rule="auto"/>
        <w:ind w:firstLine="540"/>
        <w:jc w:val="both"/>
      </w:pPr>
      <w:r>
        <w:rPr>
          <w:sz w:val="20"/>
        </w:rPr>
        <w:t xml:space="preserve">вывод о соответствии или несоответствии заявителя требованиям настоящего Порядка.</w:t>
      </w:r>
    </w:p>
    <w:p>
      <w:pPr>
        <w:pStyle w:val="0"/>
        <w:spacing w:before="200" w:line-rule="auto"/>
        <w:ind w:firstLine="540"/>
        <w:jc w:val="both"/>
      </w:pPr>
      <w:r>
        <w:rPr>
          <w:sz w:val="20"/>
        </w:rPr>
        <w:t xml:space="preserve">Выездная проверка ВЛЭК ГА и подписание акта проверки осуществляются в срок, не превышающий 30 календарных дней со дня поступления заявления в уполномоченный орган (в случае соответствия заявления и прилагаемых к нему документов требованиям </w:t>
      </w:r>
      <w:hyperlink w:history="0" w:anchor="P4844" w:tooltip="9. ВЛЭК ГА считается допущенной к проведению обязательного медицинского освидетельствования в соответствии с настоящим Порядком с даты включения в утвержденный уполномоченным органом перечень врачебно-летных экспертных комиссий &lt;3&gt; (далее - Перечень).">
        <w:r>
          <w:rPr>
            <w:sz w:val="20"/>
            <w:color w:val="0000ff"/>
          </w:rPr>
          <w:t xml:space="preserve">пункта 9</w:t>
        </w:r>
      </w:hyperlink>
      <w:r>
        <w:rPr>
          <w:sz w:val="20"/>
        </w:rPr>
        <w:t xml:space="preserve"> настоящего приложения) или 30 календарных дней со дня поступления заявления об устранении нарушений, указанного в </w:t>
      </w:r>
      <w:hyperlink w:history="0" w:anchor="P4875" w:tooltip="9.1. Заявление и прилагаемые к нему документы представляются заявителем или его уполномоченным представителем в уполномоченный орган непосредственно или направляются заказным почтовым отправлением с уведомлением о вручении.">
        <w:r>
          <w:rPr>
            <w:sz w:val="20"/>
            <w:color w:val="0000ff"/>
          </w:rPr>
          <w:t xml:space="preserve">пункте 9.1</w:t>
        </w:r>
      </w:hyperlink>
      <w:r>
        <w:rPr>
          <w:sz w:val="20"/>
        </w:rPr>
        <w:t xml:space="preserve"> настоящего приложения.</w:t>
      </w:r>
    </w:p>
    <w:p>
      <w:pPr>
        <w:pStyle w:val="0"/>
        <w:spacing w:before="200" w:line-rule="auto"/>
        <w:ind w:firstLine="540"/>
        <w:jc w:val="both"/>
      </w:pPr>
      <w:r>
        <w:rPr>
          <w:sz w:val="20"/>
        </w:rPr>
        <w:t xml:space="preserve">В случае если акт комиссии содержит вывод о соответствии ВЛЭК ГА требованиям Порядка уполномоченный орган в течение 5 календарных дней со дня подписания акта комиссии включает ВЛЭК ГА в Перечень, о чем должен известить заявителя или его уполномоченного представителя заказным почтовым отправлением с уведомлением о вручении или по адресу электронной почты.</w:t>
      </w:r>
    </w:p>
    <w:p>
      <w:pPr>
        <w:pStyle w:val="0"/>
        <w:jc w:val="both"/>
      </w:pPr>
      <w:r>
        <w:rPr>
          <w:sz w:val="20"/>
        </w:rPr>
        <w:t xml:space="preserve">(п. 9.2 в ред. </w:t>
      </w:r>
      <w:hyperlink w:history="0" r:id="rId19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bookmarkStart w:id="4900" w:name="P4900"/>
    <w:bookmarkEnd w:id="4900"/>
    <w:p>
      <w:pPr>
        <w:pStyle w:val="0"/>
        <w:spacing w:before="200" w:line-rule="auto"/>
        <w:ind w:firstLine="540"/>
        <w:jc w:val="both"/>
      </w:pPr>
      <w:r>
        <w:rPr>
          <w:sz w:val="20"/>
        </w:rPr>
        <w:t xml:space="preserve">9.3. Основанием для отказа во включении ВЛЭК ГА в Перечень является установленное в акте комиссии несоответствие заявителя требованиям настоящего Порядка.</w:t>
      </w:r>
    </w:p>
    <w:p>
      <w:pPr>
        <w:pStyle w:val="0"/>
        <w:spacing w:before="200" w:line-rule="auto"/>
        <w:ind w:firstLine="540"/>
        <w:jc w:val="both"/>
      </w:pPr>
      <w:r>
        <w:rPr>
          <w:sz w:val="20"/>
        </w:rPr>
        <w:t xml:space="preserve">При несоответствии ВЛЭК ГА требованиям настоящего Порядка уполномоченный орган в течение 5 календарных дней после окончания проверки направляет заявителю или его уполномоченному представителю посредством заказного почтового отправления с уведомлением о вручении или по адресу электронной почты уведомление об отказе во включении ВЛЭК ГА в Перечень с указанием причин отказа.</w:t>
      </w:r>
    </w:p>
    <w:p>
      <w:pPr>
        <w:pStyle w:val="0"/>
        <w:spacing w:before="200" w:line-rule="auto"/>
        <w:ind w:firstLine="540"/>
        <w:jc w:val="both"/>
      </w:pPr>
      <w:r>
        <w:rPr>
          <w:sz w:val="20"/>
        </w:rPr>
        <w:t xml:space="preserve">В уведомлении об отказе во включении ВЛЭК ГА в Перечень уполномоченным органом указываются причины отказа со ссылкой на конкретные положения настоящего Порядка.</w:t>
      </w:r>
    </w:p>
    <w:p>
      <w:pPr>
        <w:pStyle w:val="0"/>
        <w:spacing w:before="200" w:line-rule="auto"/>
        <w:ind w:firstLine="540"/>
        <w:jc w:val="both"/>
      </w:pPr>
      <w:r>
        <w:rPr>
          <w:sz w:val="20"/>
        </w:rPr>
        <w:t xml:space="preserve">В случае отказа во включении ВЛЭК ГА в Перечень заявитель вправе повторно направить в уполномоченный орган заявление в порядке, установленном настоящим приложением, после устранения несоответствий требованиям настоящего Порядка. Уполномоченный орган рассматривает указанное заявление в порядке, установленном </w:t>
      </w:r>
      <w:hyperlink w:history="0" w:anchor="P4875" w:tooltip="9.1. Заявление и прилагаемые к нему документы представляются заявителем или его уполномоченным представителем в уполномоченный орган непосредственно или направляются заказным почтовым отправлением с уведомлением о вручении.">
        <w:r>
          <w:rPr>
            <w:sz w:val="20"/>
            <w:color w:val="0000ff"/>
          </w:rPr>
          <w:t xml:space="preserve">пунктами 9.1</w:t>
        </w:r>
      </w:hyperlink>
      <w:r>
        <w:rPr>
          <w:sz w:val="20"/>
        </w:rPr>
        <w:t xml:space="preserve"> - </w:t>
      </w:r>
      <w:hyperlink w:history="0" w:anchor="P4900" w:tooltip="9.3. Основанием для отказа во включении ВЛЭК ГА в Перечень является установленное в акте комиссии несоответствие заявителя требованиям настоящего Порядка.">
        <w:r>
          <w:rPr>
            <w:sz w:val="20"/>
            <w:color w:val="0000ff"/>
          </w:rPr>
          <w:t xml:space="preserve">9.3</w:t>
        </w:r>
      </w:hyperlink>
      <w:r>
        <w:rPr>
          <w:sz w:val="20"/>
        </w:rPr>
        <w:t xml:space="preserve"> настоящего приложения.</w:t>
      </w:r>
    </w:p>
    <w:p>
      <w:pPr>
        <w:pStyle w:val="0"/>
        <w:jc w:val="both"/>
      </w:pPr>
      <w:r>
        <w:rPr>
          <w:sz w:val="20"/>
        </w:rPr>
        <w:t xml:space="preserve">(п. 9.3 в ред. </w:t>
      </w:r>
      <w:hyperlink w:history="0" r:id="rId198"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9.4. Персональный состав ЦВЛЭК ГА, а также персональный состав ВЛЭК ГА утверждается приказом уполномоченного органа.</w:t>
      </w:r>
    </w:p>
    <w:p>
      <w:pPr>
        <w:pStyle w:val="0"/>
        <w:spacing w:before="200" w:line-rule="auto"/>
        <w:ind w:firstLine="540"/>
        <w:jc w:val="both"/>
      </w:pPr>
      <w:r>
        <w:rPr>
          <w:sz w:val="20"/>
        </w:rPr>
        <w:t xml:space="preserve">Для внесения изменений в утвержденный состав ВЛЭК ГА (ЦВЛЭК ГА) заявитель или его уполномоченный представитель не позднее чем за 3 рабочих дня до начала исполнения трудовых обязанностей новым членом ВЛЭК ГА (ЦВЛЭК ГА) направляет по адресу электронной почты в уполномоченный орган заявление о внесении изменений в утвержденный персональный состав ВЛЭК ГА (ЦВЛЭК ГА) (далее - заявление о внесении изменений).</w:t>
      </w:r>
    </w:p>
    <w:p>
      <w:pPr>
        <w:pStyle w:val="0"/>
        <w:spacing w:before="200" w:line-rule="auto"/>
        <w:ind w:firstLine="540"/>
        <w:jc w:val="both"/>
      </w:pPr>
      <w:r>
        <w:rPr>
          <w:sz w:val="20"/>
        </w:rPr>
        <w:t xml:space="preserve">Заявление о внесении изменений должно быть подписано заявителем либо его уполномоченным представителем с приложением документов, подтверждающих полномочия указанного лица на подписание заявления.</w:t>
      </w:r>
    </w:p>
    <w:p>
      <w:pPr>
        <w:pStyle w:val="0"/>
        <w:spacing w:before="200" w:line-rule="auto"/>
        <w:ind w:firstLine="540"/>
        <w:jc w:val="both"/>
      </w:pPr>
      <w:r>
        <w:rPr>
          <w:sz w:val="20"/>
        </w:rPr>
        <w:t xml:space="preserve">К заявлению о внесении изменений должны быть приложены:</w:t>
      </w:r>
    </w:p>
    <w:p>
      <w:pPr>
        <w:pStyle w:val="0"/>
        <w:spacing w:before="200" w:line-rule="auto"/>
        <w:ind w:firstLine="540"/>
        <w:jc w:val="both"/>
      </w:pPr>
      <w:r>
        <w:rPr>
          <w:sz w:val="20"/>
        </w:rPr>
        <w:t xml:space="preserve">копия приказа руководителя медицинской организации об утверждении измененного состава ВЛЭК ГА (ЦВЛЭК ГА);</w:t>
      </w:r>
    </w:p>
    <w:p>
      <w:pPr>
        <w:pStyle w:val="0"/>
        <w:spacing w:before="200" w:line-rule="auto"/>
        <w:ind w:firstLine="540"/>
        <w:jc w:val="both"/>
      </w:pPr>
      <w:r>
        <w:rPr>
          <w:sz w:val="20"/>
        </w:rPr>
        <w:t xml:space="preserve">копии документов об образовании и профессиональной подготовке нового члена ВЛЭК ГА (ЦВЛЭК ГА).</w:t>
      </w:r>
    </w:p>
    <w:p>
      <w:pPr>
        <w:pStyle w:val="0"/>
        <w:spacing w:before="200" w:line-rule="auto"/>
        <w:ind w:firstLine="540"/>
        <w:jc w:val="both"/>
      </w:pPr>
      <w:r>
        <w:rPr>
          <w:sz w:val="20"/>
        </w:rPr>
        <w:t xml:space="preserve">Уполномоченный орган в течение 3 рабочих дней со дня получения заявления о внесении изменений в утвержденный персональный состав ВЛЭК ГА (ЦВЛЭК ГА) проверяет представленные документы на соответствие требованиям </w:t>
      </w:r>
      <w:hyperlink w:history="0" w:anchor="P4937" w:tooltip="1. Медицинский эксперт - председатель центральная врачебно-летная экспертная комиссия, врачебно-летной экспертной комиссии (далее - ЦВЛЭК ГА, ВЛЭК ГА) должен иметь высшее медицинское образование - специалитет по специальности &quot;Лечебное дело&quot; или &quot;Педиатрия&quot;, сертификат специалиста или свидетельство об аккредитации специалиста или выписку о прохождении аккредитации по специальности &quot;Авиационная и космическая медицина&quot; &lt;1&gt;, высшую квалификационную категорию по основной медицинской специальности, опыт работ...">
        <w:r>
          <w:rPr>
            <w:sz w:val="20"/>
            <w:color w:val="0000ff"/>
          </w:rPr>
          <w:t xml:space="preserve">пунктов 1</w:t>
        </w:r>
      </w:hyperlink>
      <w:r>
        <w:rPr>
          <w:sz w:val="20"/>
        </w:rPr>
        <w:t xml:space="preserve"> - </w:t>
      </w:r>
      <w:hyperlink w:history="0" w:anchor="P4949" w:tooltip="3. Медицинский эксперт - председатель, члены ЦВЛЭК ГА, ВЛЭК ГА должны иметь документ о повышении квалификации по авиационной медицине (врачебно-летной экспертизе), а также не реже одного раза в 5 лет повышать квалификацию &lt;2&gt; по основной специальности и авиационной медицине.">
        <w:r>
          <w:rPr>
            <w:sz w:val="20"/>
            <w:color w:val="0000ff"/>
          </w:rPr>
          <w:t xml:space="preserve">3</w:t>
        </w:r>
      </w:hyperlink>
      <w:r>
        <w:rPr>
          <w:sz w:val="20"/>
        </w:rPr>
        <w:t xml:space="preserve"> приложения N 14 к настоящему Порядку и при их соответствии утверждает новый персональный состав ВЛЭК ГА (ЦВЛЭК ГА).</w:t>
      </w:r>
    </w:p>
    <w:p>
      <w:pPr>
        <w:pStyle w:val="0"/>
        <w:spacing w:before="200" w:line-rule="auto"/>
        <w:ind w:firstLine="540"/>
        <w:jc w:val="both"/>
      </w:pPr>
      <w:r>
        <w:rPr>
          <w:sz w:val="20"/>
        </w:rPr>
        <w:t xml:space="preserve">На период временного отсутствия медицинского эксперта - председателя ВЛЭК ГА (ЦВЛЭК ГА) его обязанности исполняет заместитель председателя ВЛЭК ГА (ЦВЛЭК ГА) либо лицо, его замещающее в соответствии с приказом руководителя медицинской организации, копия которого направляется по адресу электронной почты в уполномоченный орган не позднее чем за 3 рабочих дня до начала исполнения им должностных обязанностей.</w:t>
      </w:r>
    </w:p>
    <w:p>
      <w:pPr>
        <w:pStyle w:val="0"/>
        <w:spacing w:before="200" w:line-rule="auto"/>
        <w:ind w:firstLine="540"/>
        <w:jc w:val="both"/>
      </w:pPr>
      <w:r>
        <w:rPr>
          <w:sz w:val="20"/>
        </w:rPr>
        <w:t xml:space="preserve">На период временного отсутствия врача-специалиста ВЛЭК ГА (ЦВЛЭК ГА) для работы в составе ВЛЭК ГА (ЦВЛЭК ГА) допускается привлечение назначенных приказом руководителя медицинской организации врачей-специалистов при соблюдении требований, установленных </w:t>
      </w:r>
      <w:hyperlink w:history="0" w:anchor="P4954" w:tooltip="4. Медицинский эксперт-председатель и члены ЦВЛЭК ГА, ВЛЭК ГА должны:">
        <w:r>
          <w:rPr>
            <w:sz w:val="20"/>
            <w:color w:val="0000ff"/>
          </w:rPr>
          <w:t xml:space="preserve">пунктом 4</w:t>
        </w:r>
      </w:hyperlink>
      <w:r>
        <w:rPr>
          <w:sz w:val="20"/>
        </w:rPr>
        <w:t xml:space="preserve"> приложения N 14 к настоящему Порядку.</w:t>
      </w:r>
    </w:p>
    <w:p>
      <w:pPr>
        <w:pStyle w:val="0"/>
        <w:jc w:val="both"/>
      </w:pPr>
      <w:r>
        <w:rPr>
          <w:sz w:val="20"/>
        </w:rPr>
        <w:t xml:space="preserve">(п. 9.4 в ред. </w:t>
      </w:r>
      <w:hyperlink w:history="0" r:id="rId199"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10. Лабораторные и диагностические исследования проводятся не ранее, чем за один месяц до начала медицинского освидетельствования, в медицинских организациях с функциями ВЛЭК ГА (ЦВЛЭК ГА) либо в организациях, имеющих лицензию на осуществление соответствующего вида работ (услуг).</w:t>
      </w:r>
    </w:p>
    <w:p>
      <w:pPr>
        <w:pStyle w:val="0"/>
        <w:jc w:val="both"/>
      </w:pPr>
      <w:r>
        <w:rPr>
          <w:sz w:val="20"/>
        </w:rPr>
        <w:t xml:space="preserve">(в ред. </w:t>
      </w:r>
      <w:hyperlink w:history="0" r:id="rId20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11. При проведении обязательного медицинского освидетельствования учитываются результаты обязательных предварительного (при поступлении на работу) и периодических (в течение трудовой деятельности) медицинских осмотров, результаты предполетных и послеполетных медицинских осмотров членов летного экипажа гражданского воздушного судна, а также результаты предсменных и послесменных медицинских осмотров диспетчеров управления воздушным движением.</w:t>
      </w:r>
    </w:p>
    <w:p>
      <w:pPr>
        <w:pStyle w:val="0"/>
        <w:jc w:val="both"/>
      </w:pPr>
      <w:r>
        <w:rPr>
          <w:sz w:val="20"/>
        </w:rPr>
        <w:t xml:space="preserve">(в ред. </w:t>
      </w:r>
      <w:hyperlink w:history="0" r:id="rId201"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12. Дополнительные обследования лиц с заболеваниями (подозрением на заболевание) проводятся при назначении врачом-специалистом ВЛЭК ГА (ЦВЛЭК ГА) в соответствии с протоколами обследования в целях врачебно-летной экспертизы.</w:t>
      </w:r>
    </w:p>
    <w:p>
      <w:pPr>
        <w:pStyle w:val="0"/>
        <w:spacing w:before="200" w:line-rule="auto"/>
        <w:ind w:firstLine="540"/>
        <w:jc w:val="both"/>
      </w:pPr>
      <w:r>
        <w:rPr>
          <w:sz w:val="20"/>
        </w:rPr>
        <w:t xml:space="preserve">13. Медицинская организация, на базе которой действует ВЛЭК ГА (ЦВЛЭК ГА), вправе получать необходимую информацию о состоянии здоровья освидетельствуемого лица с использованием медицинской информационной системы из медицинской организации, к которой работник прикреплен для медицинского обслуживания.</w:t>
      </w:r>
    </w:p>
    <w:p>
      <w:pPr>
        <w:pStyle w:val="0"/>
        <w:spacing w:before="200" w:line-rule="auto"/>
        <w:ind w:firstLine="540"/>
        <w:jc w:val="both"/>
      </w:pPr>
      <w:r>
        <w:rPr>
          <w:sz w:val="20"/>
        </w:rPr>
        <w:t xml:space="preserve">14. Максимальное число освидетельствуемых ВЛЭК ГА (ЦВЛЭК ГА) лиц - не более 25 человек в день.</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14</w:t>
      </w:r>
    </w:p>
    <w:p>
      <w:pPr>
        <w:pStyle w:val="0"/>
        <w:jc w:val="right"/>
      </w:pPr>
      <w:r>
        <w:rPr>
          <w:sz w:val="20"/>
        </w:rPr>
        <w:t xml:space="preserve">к Порядку</w:t>
      </w:r>
    </w:p>
    <w:p>
      <w:pPr>
        <w:pStyle w:val="0"/>
        <w:jc w:val="both"/>
      </w:pPr>
      <w:r>
        <w:rPr>
          <w:sz w:val="20"/>
        </w:rPr>
      </w:r>
    </w:p>
    <w:bookmarkStart w:id="4930" w:name="P4930"/>
    <w:bookmarkEnd w:id="4930"/>
    <w:p>
      <w:pPr>
        <w:pStyle w:val="2"/>
        <w:jc w:val="center"/>
      </w:pPr>
      <w:r>
        <w:rPr>
          <w:sz w:val="20"/>
        </w:rPr>
        <w:t xml:space="preserve">ТРЕБОВАНИЯ</w:t>
      </w:r>
    </w:p>
    <w:p>
      <w:pPr>
        <w:pStyle w:val="2"/>
        <w:jc w:val="center"/>
      </w:pPr>
      <w:r>
        <w:rPr>
          <w:sz w:val="20"/>
        </w:rPr>
        <w:t xml:space="preserve">К МЕДИЦИНСКИМ ЭКСПЕРТАМ-ПРЕДСЕДАТЕЛЯМ, ЧЛЕНАМ</w:t>
      </w:r>
    </w:p>
    <w:p>
      <w:pPr>
        <w:pStyle w:val="2"/>
        <w:jc w:val="center"/>
      </w:pPr>
      <w:r>
        <w:rPr>
          <w:sz w:val="20"/>
        </w:rPr>
        <w:t xml:space="preserve">ВРАЧЕБНО-ЛЕТНОЙ ЭКСПЕРТНОЙ КОМИССИИ (ЦЕНТРАЛЬНОЙ</w:t>
      </w:r>
    </w:p>
    <w:p>
      <w:pPr>
        <w:pStyle w:val="2"/>
        <w:jc w:val="center"/>
      </w:pPr>
      <w:r>
        <w:rPr>
          <w:sz w:val="20"/>
        </w:rPr>
        <w:t xml:space="preserve">ВРАЧЕБНО-ЛЕТНОЙ ЭКСПЕРТНОЙ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0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color w:val="392c69"/>
              </w:rPr>
              <w:t xml:space="preserve"> Минтранса России от 16.04.2024 N 128)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4937" w:name="P4937"/>
    <w:bookmarkEnd w:id="4937"/>
    <w:p>
      <w:pPr>
        <w:pStyle w:val="0"/>
        <w:ind w:firstLine="540"/>
        <w:jc w:val="both"/>
      </w:pPr>
      <w:r>
        <w:rPr>
          <w:sz w:val="20"/>
        </w:rPr>
        <w:t xml:space="preserve">1. Медицинский эксперт - председатель центральная врачебно-летная экспертная комиссия, врачебно-летной экспертной комиссии (далее - ЦВЛЭК ГА, ВЛЭК ГА) должен иметь высшее медицинское образование - специалитет по специальности "Лечебное дело" или "Педиатрия", сертификат специалиста или свидетельство об аккредитации специалиста или выписку о прохождении аккредитации по специальности "Авиационная и космическая медицина" &lt;1&gt;, высшую квалификационную категорию по основной медицинской специальности, опыт работы в области авиационной медицины и врачебно-летной экспертизы: для медицинского эксперта - председателя ЦВЛЭК ГА - не менее 7 лет, для медицинского эксперта - председателя ВЛЭК ГА - не менее 5 лет.</w:t>
      </w:r>
    </w:p>
    <w:p>
      <w:pPr>
        <w:pStyle w:val="0"/>
        <w:jc w:val="both"/>
      </w:pPr>
      <w:r>
        <w:rPr>
          <w:sz w:val="20"/>
        </w:rPr>
        <w:t xml:space="preserve">(в ред. </w:t>
      </w:r>
      <w:hyperlink w:history="0" r:id="rId203"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04"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Статьи 69</w:t>
        </w:r>
      </w:hyperlink>
      <w:r>
        <w:rPr>
          <w:sz w:val="20"/>
        </w:rPr>
        <w:t xml:space="preserve">, </w:t>
      </w:r>
      <w:hyperlink w:history="0" r:id="rId205"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100</w:t>
        </w:r>
      </w:hyperlink>
      <w:r>
        <w:rPr>
          <w:sz w:val="20"/>
        </w:rPr>
        <w:t xml:space="preserve"> Федерального закона от 21 ноября 2011 г. N 323-ФЗ "Об основах охраны здоровья граждан в Российской Федерации".</w:t>
      </w:r>
    </w:p>
    <w:p>
      <w:pPr>
        <w:pStyle w:val="0"/>
        <w:jc w:val="both"/>
      </w:pPr>
      <w:r>
        <w:rPr>
          <w:sz w:val="20"/>
        </w:rPr>
        <w:t xml:space="preserve">(в ред. </w:t>
      </w:r>
      <w:hyperlink w:history="0" r:id="rId206"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p>
      <w:pPr>
        <w:pStyle w:val="0"/>
        <w:ind w:firstLine="540"/>
        <w:jc w:val="both"/>
      </w:pPr>
      <w:r>
        <w:rPr>
          <w:sz w:val="20"/>
        </w:rPr>
        <w:t xml:space="preserve">2. Члены ЦВЛЭК ГА, ВЛЭК ГА должны соответствовать установленным квалификационным требованиям &lt;1(1)&gt; и пройти аккредитацию.</w:t>
      </w:r>
    </w:p>
    <w:p>
      <w:pPr>
        <w:pStyle w:val="0"/>
        <w:jc w:val="both"/>
      </w:pPr>
      <w:r>
        <w:rPr>
          <w:sz w:val="20"/>
        </w:rPr>
        <w:t xml:space="preserve">(п. 2 в ред. </w:t>
      </w:r>
      <w:hyperlink w:history="0" r:id="rId207"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w:t>
      </w:r>
      <w:hyperlink w:history="0" r:id="rId208" w:tooltip="Приказ Минздрава России от 02.05.2023 N 206н (ред. от 29.08.2025) &quot;Об утверждении Квалификационных требований к медицинским и фармацевтическим работникам с высшим образованием&quot; (Зарегистрировано в Минюсте России 01.06.2023 N 73677) {КонсультантПлюс}">
        <w:r>
          <w:rPr>
            <w:sz w:val="20"/>
            <w:color w:val="0000ff"/>
          </w:rPr>
          <w:t xml:space="preserve">Приказ</w:t>
        </w:r>
      </w:hyperlink>
      <w:r>
        <w:rPr>
          <w:sz w:val="20"/>
        </w:rPr>
        <w:t xml:space="preserve"> Министерства здравоохранения Российской Федерации от 2 мая 2023 г. N 206н "Об утверждении Квалификационных требований к медицинским и фармацевтическим работникам с высшим образованием" (зарегистрирован Минюстом России 1 июня 2023 г., регистрационный N 73677)" (далее - приказ N 206н). В соответствии с </w:t>
      </w:r>
      <w:hyperlink w:history="0" r:id="rId209" w:tooltip="Приказ Минздрава России от 02.05.2023 N 206н (ред. от 29.08.2025) &quot;Об утверждении Квалификационных требований к медицинским и фармацевтическим работникам с высшим образованием&quot; (Зарегистрировано в Минюсте России 01.06.2023 N 73677) {КонсультантПлюс}">
        <w:r>
          <w:rPr>
            <w:sz w:val="20"/>
            <w:color w:val="0000ff"/>
          </w:rPr>
          <w:t xml:space="preserve">пунктом 3</w:t>
        </w:r>
      </w:hyperlink>
      <w:r>
        <w:rPr>
          <w:sz w:val="20"/>
        </w:rPr>
        <w:t xml:space="preserve"> приказа N 206н данный акт действует до 1 сентября 2025 г.</w:t>
      </w:r>
    </w:p>
    <w:p>
      <w:pPr>
        <w:pStyle w:val="0"/>
        <w:jc w:val="both"/>
      </w:pPr>
      <w:r>
        <w:rPr>
          <w:sz w:val="20"/>
        </w:rPr>
        <w:t xml:space="preserve">(сноска введена </w:t>
      </w:r>
      <w:hyperlink w:history="0" r:id="rId210"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Приказом</w:t>
        </w:r>
      </w:hyperlink>
      <w:r>
        <w:rPr>
          <w:sz w:val="20"/>
        </w:rPr>
        <w:t xml:space="preserve"> Минтранса России от 16.04.2024 N 128)</w:t>
      </w:r>
    </w:p>
    <w:p>
      <w:pPr>
        <w:pStyle w:val="0"/>
        <w:jc w:val="both"/>
      </w:pPr>
      <w:r>
        <w:rPr>
          <w:sz w:val="20"/>
        </w:rPr>
      </w:r>
    </w:p>
    <w:bookmarkStart w:id="4949" w:name="P4949"/>
    <w:bookmarkEnd w:id="4949"/>
    <w:p>
      <w:pPr>
        <w:pStyle w:val="0"/>
        <w:ind w:firstLine="540"/>
        <w:jc w:val="both"/>
      </w:pPr>
      <w:r>
        <w:rPr>
          <w:sz w:val="20"/>
        </w:rPr>
        <w:t xml:space="preserve">3. Медицинский эксперт - председатель, члены ЦВЛЭК ГА, ВЛЭК ГА должны иметь документ о повышении квалификации по авиационной медицине (врачебно-летной экспертизе), а также не реже одного раза в 5 лет повышать квалификацию &lt;2&gt; по основной специальности и авиационной медицине.</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11"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Статья 72</w:t>
        </w:r>
      </w:hyperlink>
      <w:r>
        <w:rPr>
          <w:sz w:val="20"/>
        </w:rPr>
        <w:t xml:space="preserve"> Федерального закона от 21 ноября 2011 г. N 323-ФЗ "Об основах охраны здоровья граждан в Российской граждан в Российской Федерации".</w:t>
      </w:r>
    </w:p>
    <w:p>
      <w:pPr>
        <w:pStyle w:val="0"/>
        <w:jc w:val="both"/>
      </w:pPr>
      <w:r>
        <w:rPr>
          <w:sz w:val="20"/>
        </w:rPr>
        <w:t xml:space="preserve">(в ред. </w:t>
      </w:r>
      <w:hyperlink w:history="0" r:id="rId212" w:tooltip="Приказ Минтранса России от 16.04.2024 N 128 &quot;О внесении изменений в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 {КонсультантПлюс}">
        <w:r>
          <w:rPr>
            <w:sz w:val="20"/>
            <w:color w:val="0000ff"/>
          </w:rPr>
          <w:t xml:space="preserve">Приказа</w:t>
        </w:r>
      </w:hyperlink>
      <w:r>
        <w:rPr>
          <w:sz w:val="20"/>
        </w:rPr>
        <w:t xml:space="preserve"> Минтранса России от 16.04.2024 N 128)</w:t>
      </w:r>
    </w:p>
    <w:p>
      <w:pPr>
        <w:pStyle w:val="0"/>
        <w:jc w:val="both"/>
      </w:pPr>
      <w:r>
        <w:rPr>
          <w:sz w:val="20"/>
        </w:rPr>
      </w:r>
    </w:p>
    <w:bookmarkStart w:id="4954" w:name="P4954"/>
    <w:bookmarkEnd w:id="4954"/>
    <w:p>
      <w:pPr>
        <w:pStyle w:val="0"/>
        <w:ind w:firstLine="540"/>
        <w:jc w:val="both"/>
      </w:pPr>
      <w:r>
        <w:rPr>
          <w:sz w:val="20"/>
        </w:rPr>
        <w:t xml:space="preserve">4. Медицинский эксперт-председатель и члены ЦВЛЭК ГА, ВЛЭК ГА должны:</w:t>
      </w:r>
    </w:p>
    <w:p>
      <w:pPr>
        <w:pStyle w:val="0"/>
        <w:spacing w:before="200" w:line-rule="auto"/>
        <w:ind w:firstLine="540"/>
        <w:jc w:val="both"/>
      </w:pPr>
      <w:r>
        <w:rPr>
          <w:sz w:val="20"/>
        </w:rPr>
        <w:t xml:space="preserve">а) знать и соблюдать порядок проведения обязательного медицинского освидетельствования и требования к состоянию здоровья специалистов авиационного персонала гражданской авиации;</w:t>
      </w:r>
    </w:p>
    <w:p>
      <w:pPr>
        <w:pStyle w:val="0"/>
        <w:spacing w:before="200" w:line-rule="auto"/>
        <w:ind w:firstLine="540"/>
        <w:jc w:val="both"/>
      </w:pPr>
      <w:r>
        <w:rPr>
          <w:sz w:val="20"/>
        </w:rPr>
        <w:t xml:space="preserve">б) учитывать риски изменения (ухудшения) состояния здоровья для обеспечения безопасности полетов при вынесении экспертного решения о годности кандидатов на получение медицинского заключения;</w:t>
      </w:r>
    </w:p>
    <w:p>
      <w:pPr>
        <w:pStyle w:val="0"/>
        <w:spacing w:before="200" w:line-rule="auto"/>
        <w:ind w:firstLine="540"/>
        <w:jc w:val="both"/>
      </w:pPr>
      <w:r>
        <w:rPr>
          <w:sz w:val="20"/>
        </w:rPr>
        <w:t xml:space="preserve">в) давать рекомендации по наблюдению за состоянием здоровья авиационного персонала гражданской авиации;</w:t>
      </w:r>
    </w:p>
    <w:p>
      <w:pPr>
        <w:pStyle w:val="0"/>
        <w:spacing w:before="200" w:line-rule="auto"/>
        <w:ind w:firstLine="540"/>
        <w:jc w:val="both"/>
      </w:pPr>
      <w:r>
        <w:rPr>
          <w:sz w:val="20"/>
        </w:rPr>
        <w:t xml:space="preserve">г) владеть современными технологиями для работы с автоматизированными программами, базами данных и информационными системами;</w:t>
      </w:r>
    </w:p>
    <w:p>
      <w:pPr>
        <w:pStyle w:val="0"/>
        <w:spacing w:before="200" w:line-rule="auto"/>
        <w:ind w:firstLine="540"/>
        <w:jc w:val="both"/>
      </w:pPr>
      <w:r>
        <w:rPr>
          <w:sz w:val="20"/>
        </w:rPr>
        <w:t xml:space="preserve">д) неуклонно соблюдать принцип конфиденциальности медицинской информации и персональных данных, медицинскую этику, деонтологию, врачебную тайну.</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Минтранса России от 10.12.2021 N 437</w:t>
            <w:br/>
            <w:t>(ред. от 16.04.2024)</w:t>
            <w:br/>
            <w:t>"Об утверждении Федеральных авиационных правил "Порядок...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24.09.2025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Минтранса России от 10.12.2021 N 437</w:t>
            <w:br/>
            <w:t>(ред. от 16.04.2024)</w:t>
            <w:br/>
            <w:t>"Об утверждении Федеральных авиационных правил "Порядок...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24.09.2025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76401&amp;dst=100006" TargetMode = "External"/>
	<Relationship Id="rId8" Type="http://schemas.openxmlformats.org/officeDocument/2006/relationships/hyperlink" Target="https://login.consultant.ru/link/?req=doc&amp;base=LAW&amp;n=499925&amp;dst=100726" TargetMode = "External"/>
	<Relationship Id="rId9" Type="http://schemas.openxmlformats.org/officeDocument/2006/relationships/hyperlink" Target="https://login.consultant.ru/link/?req=doc&amp;base=LAW&amp;n=499925&amp;dst=100736" TargetMode = "External"/>
	<Relationship Id="rId10" Type="http://schemas.openxmlformats.org/officeDocument/2006/relationships/hyperlink" Target="https://login.consultant.ru/link/?req=doc&amp;base=LAW&amp;n=499925&amp;dst=100739" TargetMode = "External"/>
	<Relationship Id="rId11" Type="http://schemas.openxmlformats.org/officeDocument/2006/relationships/hyperlink" Target="https://login.consultant.ru/link/?req=doc&amp;base=LAW&amp;n=499925&amp;dst=100761" TargetMode = "External"/>
	<Relationship Id="rId12" Type="http://schemas.openxmlformats.org/officeDocument/2006/relationships/hyperlink" Target="https://login.consultant.ru/link/?req=doc&amp;base=LAW&amp;n=512595&amp;dst=86" TargetMode = "External"/>
	<Relationship Id="rId13" Type="http://schemas.openxmlformats.org/officeDocument/2006/relationships/hyperlink" Target="https://login.consultant.ru/link/?req=doc&amp;base=LAW&amp;n=212631&amp;dst=100056" TargetMode = "External"/>
	<Relationship Id="rId14" Type="http://schemas.openxmlformats.org/officeDocument/2006/relationships/hyperlink" Target="https://login.consultant.ru/link/?req=doc&amp;base=LAW&amp;n=410483&amp;dst=100279" TargetMode = "External"/>
	<Relationship Id="rId15" Type="http://schemas.openxmlformats.org/officeDocument/2006/relationships/hyperlink" Target="https://login.consultant.ru/link/?req=doc&amp;base=LAW&amp;n=410483&amp;dst=13" TargetMode = "External"/>
	<Relationship Id="rId16" Type="http://schemas.openxmlformats.org/officeDocument/2006/relationships/hyperlink" Target="https://login.consultant.ru/link/?req=doc&amp;base=LAW&amp;n=221811" TargetMode = "External"/>
	<Relationship Id="rId17" Type="http://schemas.openxmlformats.org/officeDocument/2006/relationships/hyperlink" Target="https://login.consultant.ru/link/?req=doc&amp;base=LAW&amp;n=43312" TargetMode = "External"/>
	<Relationship Id="rId18" Type="http://schemas.openxmlformats.org/officeDocument/2006/relationships/hyperlink" Target="https://login.consultant.ru/link/?req=doc&amp;base=LAW&amp;n=50342" TargetMode = "External"/>
	<Relationship Id="rId19" Type="http://schemas.openxmlformats.org/officeDocument/2006/relationships/hyperlink" Target="https://login.consultant.ru/link/?req=doc&amp;base=LAW&amp;n=142376" TargetMode = "External"/>
	<Relationship Id="rId20" Type="http://schemas.openxmlformats.org/officeDocument/2006/relationships/hyperlink" Target="https://login.consultant.ru/link/?req=doc&amp;base=LAW&amp;n=172371" TargetMode = "External"/>
	<Relationship Id="rId21" Type="http://schemas.openxmlformats.org/officeDocument/2006/relationships/hyperlink" Target="https://login.consultant.ru/link/?req=doc&amp;base=LAW&amp;n=221633" TargetMode = "External"/>
	<Relationship Id="rId22" Type="http://schemas.openxmlformats.org/officeDocument/2006/relationships/hyperlink" Target="https://login.consultant.ru/link/?req=doc&amp;base=LAW&amp;n=476401&amp;dst=100006" TargetMode = "External"/>
	<Relationship Id="rId23" Type="http://schemas.openxmlformats.org/officeDocument/2006/relationships/hyperlink" Target="https://login.consultant.ru/link/?req=doc&amp;base=LAW&amp;n=476401&amp;dst=100011" TargetMode = "External"/>
	<Relationship Id="rId24" Type="http://schemas.openxmlformats.org/officeDocument/2006/relationships/hyperlink" Target="https://login.consultant.ru/link/?req=doc&amp;base=LAW&amp;n=511304&amp;dst=100198" TargetMode = "External"/>
	<Relationship Id="rId25" Type="http://schemas.openxmlformats.org/officeDocument/2006/relationships/hyperlink" Target="https://login.consultant.ru/link/?req=doc&amp;base=LAW&amp;n=476401&amp;dst=100012" TargetMode = "External"/>
	<Relationship Id="rId26" Type="http://schemas.openxmlformats.org/officeDocument/2006/relationships/hyperlink" Target="https://login.consultant.ru/link/?req=doc&amp;base=LAW&amp;n=499925&amp;dst=100736" TargetMode = "External"/>
	<Relationship Id="rId27" Type="http://schemas.openxmlformats.org/officeDocument/2006/relationships/hyperlink" Target="https://login.consultant.ru/link/?req=doc&amp;base=LAW&amp;n=476401&amp;dst=100013" TargetMode = "External"/>
	<Relationship Id="rId28" Type="http://schemas.openxmlformats.org/officeDocument/2006/relationships/hyperlink" Target="https://login.consultant.ru/link/?req=doc&amp;base=LAW&amp;n=476401&amp;dst=100014" TargetMode = "External"/>
	<Relationship Id="rId29" Type="http://schemas.openxmlformats.org/officeDocument/2006/relationships/hyperlink" Target="https://login.consultant.ru/link/?req=doc&amp;base=LAW&amp;n=476401&amp;dst=100016" TargetMode = "External"/>
	<Relationship Id="rId30" Type="http://schemas.openxmlformats.org/officeDocument/2006/relationships/hyperlink" Target="https://login.consultant.ru/link/?req=doc&amp;base=LAW&amp;n=133602" TargetMode = "External"/>
	<Relationship Id="rId31" Type="http://schemas.openxmlformats.org/officeDocument/2006/relationships/hyperlink" Target="https://login.consultant.ru/link/?req=doc&amp;base=LAW&amp;n=133602" TargetMode = "External"/>
	<Relationship Id="rId32" Type="http://schemas.openxmlformats.org/officeDocument/2006/relationships/hyperlink" Target="https://login.consultant.ru/link/?req=doc&amp;base=LAW&amp;n=499925&amp;dst=100230" TargetMode = "External"/>
	<Relationship Id="rId33" Type="http://schemas.openxmlformats.org/officeDocument/2006/relationships/hyperlink" Target="https://login.consultant.ru/link/?req=doc&amp;base=LAW&amp;n=476401&amp;dst=100019" TargetMode = "External"/>
	<Relationship Id="rId34" Type="http://schemas.openxmlformats.org/officeDocument/2006/relationships/hyperlink" Target="https://login.consultant.ru/link/?req=doc&amp;base=LAW&amp;n=509160&amp;dst=100006" TargetMode = "External"/>
	<Relationship Id="rId35" Type="http://schemas.openxmlformats.org/officeDocument/2006/relationships/hyperlink" Target="https://login.consultant.ru/link/?req=doc&amp;base=LAW&amp;n=509216&amp;dst=100095" TargetMode = "External"/>
	<Relationship Id="rId36" Type="http://schemas.openxmlformats.org/officeDocument/2006/relationships/hyperlink" Target="https://login.consultant.ru/link/?req=doc&amp;base=LAW&amp;n=509216&amp;dst=100011" TargetMode = "External"/>
	<Relationship Id="rId37" Type="http://schemas.openxmlformats.org/officeDocument/2006/relationships/hyperlink" Target="https://login.consultant.ru/link/?req=doc&amp;base=LAW&amp;n=476401&amp;dst=100023" TargetMode = "External"/>
	<Relationship Id="rId38" Type="http://schemas.openxmlformats.org/officeDocument/2006/relationships/hyperlink" Target="https://login.consultant.ru/link/?req=doc&amp;base=LAW&amp;n=404943&amp;dst=100010" TargetMode = "External"/>
	<Relationship Id="rId39" Type="http://schemas.openxmlformats.org/officeDocument/2006/relationships/hyperlink" Target="https://login.consultant.ru/link/?req=doc&amp;base=LAW&amp;n=499925&amp;dst=100745" TargetMode = "External"/>
	<Relationship Id="rId40" Type="http://schemas.openxmlformats.org/officeDocument/2006/relationships/hyperlink" Target="https://login.consultant.ru/link/?req=doc&amp;base=LAW&amp;n=476401&amp;dst=100020" TargetMode = "External"/>
	<Relationship Id="rId41" Type="http://schemas.openxmlformats.org/officeDocument/2006/relationships/hyperlink" Target="https://login.consultant.ru/link/?req=doc&amp;base=LAW&amp;n=476883&amp;dst=101270" TargetMode = "External"/>
	<Relationship Id="rId42" Type="http://schemas.openxmlformats.org/officeDocument/2006/relationships/hyperlink" Target="https://login.consultant.ru/link/?req=doc&amp;base=LAW&amp;n=476883&amp;dst=101270" TargetMode = "External"/>
	<Relationship Id="rId43" Type="http://schemas.openxmlformats.org/officeDocument/2006/relationships/hyperlink" Target="https://login.consultant.ru/link/?req=doc&amp;base=LAW&amp;n=476401&amp;dst=100025" TargetMode = "External"/>
	<Relationship Id="rId44" Type="http://schemas.openxmlformats.org/officeDocument/2006/relationships/hyperlink" Target="https://login.consultant.ru/link/?req=doc&amp;base=LAW&amp;n=476401&amp;dst=100027" TargetMode = "External"/>
	<Relationship Id="rId45" Type="http://schemas.openxmlformats.org/officeDocument/2006/relationships/hyperlink" Target="https://login.consultant.ru/link/?req=doc&amp;base=LAW&amp;n=476401&amp;dst=100035" TargetMode = "External"/>
	<Relationship Id="rId46" Type="http://schemas.openxmlformats.org/officeDocument/2006/relationships/hyperlink" Target="https://login.consultant.ru/link/?req=doc&amp;base=LAW&amp;n=493417" TargetMode = "External"/>
	<Relationship Id="rId47" Type="http://schemas.openxmlformats.org/officeDocument/2006/relationships/hyperlink" Target="https://login.consultant.ru/link/?req=doc&amp;base=LAW&amp;n=476401&amp;dst=100037" TargetMode = "External"/>
	<Relationship Id="rId48" Type="http://schemas.openxmlformats.org/officeDocument/2006/relationships/hyperlink" Target="https://login.consultant.ru/link/?req=doc&amp;base=LAW&amp;n=476401&amp;dst=100039" TargetMode = "External"/>
	<Relationship Id="rId49" Type="http://schemas.openxmlformats.org/officeDocument/2006/relationships/hyperlink" Target="https://login.consultant.ru/link/?req=doc&amp;base=EXP&amp;n=763941" TargetMode = "External"/>
	<Relationship Id="rId50" Type="http://schemas.openxmlformats.org/officeDocument/2006/relationships/hyperlink" Target="https://login.consultant.ru/link/?req=doc&amp;base=LAW&amp;n=476401&amp;dst=100040" TargetMode = "External"/>
	<Relationship Id="rId51" Type="http://schemas.openxmlformats.org/officeDocument/2006/relationships/hyperlink" Target="https://login.consultant.ru/link/?req=doc&amp;base=LAW&amp;n=476401&amp;dst=100041" TargetMode = "External"/>
	<Relationship Id="rId52" Type="http://schemas.openxmlformats.org/officeDocument/2006/relationships/hyperlink" Target="https://login.consultant.ru/link/?req=doc&amp;base=LAW&amp;n=476401&amp;dst=100042" TargetMode = "External"/>
	<Relationship Id="rId53" Type="http://schemas.openxmlformats.org/officeDocument/2006/relationships/hyperlink" Target="https://login.consultant.ru/link/?req=doc&amp;base=LAW&amp;n=476401&amp;dst=100045" TargetMode = "External"/>
	<Relationship Id="rId54" Type="http://schemas.openxmlformats.org/officeDocument/2006/relationships/hyperlink" Target="https://login.consultant.ru/link/?req=doc&amp;base=LAW&amp;n=476401&amp;dst=100047" TargetMode = "External"/>
	<Relationship Id="rId55" Type="http://schemas.openxmlformats.org/officeDocument/2006/relationships/hyperlink" Target="https://login.consultant.ru/link/?req=doc&amp;base=LAW&amp;n=476401&amp;dst=100049" TargetMode = "External"/>
	<Relationship Id="rId56" Type="http://schemas.openxmlformats.org/officeDocument/2006/relationships/hyperlink" Target="https://login.consultant.ru/link/?req=doc&amp;base=LAW&amp;n=476401&amp;dst=100051" TargetMode = "External"/>
	<Relationship Id="rId57" Type="http://schemas.openxmlformats.org/officeDocument/2006/relationships/hyperlink" Target="https://login.consultant.ru/link/?req=doc&amp;base=LAW&amp;n=476401&amp;dst=100053" TargetMode = "External"/>
	<Relationship Id="rId58" Type="http://schemas.openxmlformats.org/officeDocument/2006/relationships/hyperlink" Target="https://login.consultant.ru/link/?req=doc&amp;base=LAW&amp;n=476401&amp;dst=100056" TargetMode = "External"/>
	<Relationship Id="rId59" Type="http://schemas.openxmlformats.org/officeDocument/2006/relationships/hyperlink" Target="https://login.consultant.ru/link/?req=doc&amp;base=LAW&amp;n=476401&amp;dst=100057" TargetMode = "External"/>
	<Relationship Id="rId60" Type="http://schemas.openxmlformats.org/officeDocument/2006/relationships/header" Target="header2.xml"/>
	<Relationship Id="rId61" Type="http://schemas.openxmlformats.org/officeDocument/2006/relationships/footer" Target="footer2.xml"/>
	<Relationship Id="rId62" Type="http://schemas.openxmlformats.org/officeDocument/2006/relationships/hyperlink" Target="https://login.consultant.ru/link/?req=doc&amp;base=LAW&amp;n=499769&amp;dst=100278" TargetMode = "External"/>
	<Relationship Id="rId63" Type="http://schemas.openxmlformats.org/officeDocument/2006/relationships/hyperlink" Target="https://login.consultant.ru/link/?req=doc&amp;base=LAW&amp;n=476401&amp;dst=100060" TargetMode = "External"/>
	<Relationship Id="rId64" Type="http://schemas.openxmlformats.org/officeDocument/2006/relationships/hyperlink" Target="https://login.consultant.ru/link/?req=doc&amp;base=LAW&amp;n=476401&amp;dst=100062" TargetMode = "External"/>
	<Relationship Id="rId65" Type="http://schemas.openxmlformats.org/officeDocument/2006/relationships/hyperlink" Target="https://login.consultant.ru/link/?req=doc&amp;base=LAW&amp;n=476401&amp;dst=100063" TargetMode = "External"/>
	<Relationship Id="rId66" Type="http://schemas.openxmlformats.org/officeDocument/2006/relationships/hyperlink" Target="https://login.consultant.ru/link/?req=doc&amp;base=LAW&amp;n=476401&amp;dst=100065" TargetMode = "External"/>
	<Relationship Id="rId67" Type="http://schemas.openxmlformats.org/officeDocument/2006/relationships/hyperlink" Target="https://login.consultant.ru/link/?req=doc&amp;base=LAW&amp;n=476401&amp;dst=100066" TargetMode = "External"/>
	<Relationship Id="rId68" Type="http://schemas.openxmlformats.org/officeDocument/2006/relationships/hyperlink" Target="https://login.consultant.ru/link/?req=doc&amp;base=LAW&amp;n=476401&amp;dst=100068" TargetMode = "External"/>
	<Relationship Id="rId69" Type="http://schemas.openxmlformats.org/officeDocument/2006/relationships/hyperlink" Target="https://login.consultant.ru/link/?req=doc&amp;base=LAW&amp;n=476401&amp;dst=100143" TargetMode = "External"/>
	<Relationship Id="rId70" Type="http://schemas.openxmlformats.org/officeDocument/2006/relationships/hyperlink" Target="https://login.consultant.ru/link/?req=doc&amp;base=LAW&amp;n=476401&amp;dst=100144" TargetMode = "External"/>
	<Relationship Id="rId71" Type="http://schemas.openxmlformats.org/officeDocument/2006/relationships/hyperlink" Target="https://login.consultant.ru/link/?req=doc&amp;base=LAW&amp;n=476401&amp;dst=100147" TargetMode = "External"/>
	<Relationship Id="rId72" Type="http://schemas.openxmlformats.org/officeDocument/2006/relationships/hyperlink" Target="https://login.consultant.ru/link/?req=doc&amp;base=LAW&amp;n=476401&amp;dst=100163" TargetMode = "External"/>
	<Relationship Id="rId73" Type="http://schemas.openxmlformats.org/officeDocument/2006/relationships/image" Target="media/image2.wmf"/>
	<Relationship Id="rId74" Type="http://schemas.openxmlformats.org/officeDocument/2006/relationships/image" Target="media/image3.wmf"/>
	<Relationship Id="rId75" Type="http://schemas.openxmlformats.org/officeDocument/2006/relationships/hyperlink" Target="https://login.consultant.ru/link/?req=doc&amp;base=LAW&amp;n=476401&amp;dst=100165" TargetMode = "External"/>
	<Relationship Id="rId76" Type="http://schemas.openxmlformats.org/officeDocument/2006/relationships/hyperlink" Target="https://login.consultant.ru/link/?req=doc&amp;base=LAW&amp;n=476401&amp;dst=100166" TargetMode = "External"/>
	<Relationship Id="rId77" Type="http://schemas.openxmlformats.org/officeDocument/2006/relationships/hyperlink" Target="https://login.consultant.ru/link/?req=doc&amp;base=LAW&amp;n=476401&amp;dst=100168" TargetMode = "External"/>
	<Relationship Id="rId78" Type="http://schemas.openxmlformats.org/officeDocument/2006/relationships/hyperlink" Target="https://login.consultant.ru/link/?req=doc&amp;base=LAW&amp;n=476401&amp;dst=100170" TargetMode = "External"/>
	<Relationship Id="rId79" Type="http://schemas.openxmlformats.org/officeDocument/2006/relationships/hyperlink" Target="https://login.consultant.ru/link/?req=doc&amp;base=LAW&amp;n=476401&amp;dst=100172" TargetMode = "External"/>
	<Relationship Id="rId80" Type="http://schemas.openxmlformats.org/officeDocument/2006/relationships/hyperlink" Target="https://login.consultant.ru/link/?req=doc&amp;base=LAW&amp;n=476401&amp;dst=100173" TargetMode = "External"/>
	<Relationship Id="rId81" Type="http://schemas.openxmlformats.org/officeDocument/2006/relationships/hyperlink" Target="https://login.consultant.ru/link/?req=doc&amp;base=EXP&amp;n=763941" TargetMode = "External"/>
	<Relationship Id="rId82" Type="http://schemas.openxmlformats.org/officeDocument/2006/relationships/hyperlink" Target="https://login.consultant.ru/link/?req=doc&amp;base=LAW&amp;n=476401&amp;dst=100175" TargetMode = "External"/>
	<Relationship Id="rId83" Type="http://schemas.openxmlformats.org/officeDocument/2006/relationships/hyperlink" Target="https://login.consultant.ru/link/?req=doc&amp;base=EXP&amp;n=763941" TargetMode = "External"/>
	<Relationship Id="rId84" Type="http://schemas.openxmlformats.org/officeDocument/2006/relationships/hyperlink" Target="https://login.consultant.ru/link/?req=doc&amp;base=LAW&amp;n=476401&amp;dst=100177" TargetMode = "External"/>
	<Relationship Id="rId85" Type="http://schemas.openxmlformats.org/officeDocument/2006/relationships/hyperlink" Target="https://login.consultant.ru/link/?req=doc&amp;base=LAW&amp;n=476401&amp;dst=100179" TargetMode = "External"/>
	<Relationship Id="rId86" Type="http://schemas.openxmlformats.org/officeDocument/2006/relationships/hyperlink" Target="https://login.consultant.ru/link/?req=doc&amp;base=LAW&amp;n=476401&amp;dst=100179" TargetMode = "External"/>
	<Relationship Id="rId87" Type="http://schemas.openxmlformats.org/officeDocument/2006/relationships/hyperlink" Target="https://login.consultant.ru/link/?req=doc&amp;base=LAW&amp;n=476401&amp;dst=100180" TargetMode = "External"/>
	<Relationship Id="rId88" Type="http://schemas.openxmlformats.org/officeDocument/2006/relationships/hyperlink" Target="https://login.consultant.ru/link/?req=doc&amp;base=LAW&amp;n=476401&amp;dst=100180" TargetMode = "External"/>
	<Relationship Id="rId89" Type="http://schemas.openxmlformats.org/officeDocument/2006/relationships/hyperlink" Target="https://login.consultant.ru/link/?req=doc&amp;base=LAW&amp;n=476401&amp;dst=100180" TargetMode = "External"/>
	<Relationship Id="rId90" Type="http://schemas.openxmlformats.org/officeDocument/2006/relationships/hyperlink" Target="https://login.consultant.ru/link/?req=doc&amp;base=LAW&amp;n=476401&amp;dst=100180" TargetMode = "External"/>
	<Relationship Id="rId91" Type="http://schemas.openxmlformats.org/officeDocument/2006/relationships/hyperlink" Target="https://login.consultant.ru/link/?req=doc&amp;base=LAW&amp;n=476401&amp;dst=100180" TargetMode = "External"/>
	<Relationship Id="rId92" Type="http://schemas.openxmlformats.org/officeDocument/2006/relationships/hyperlink" Target="https://login.consultant.ru/link/?req=doc&amp;base=LAW&amp;n=476401&amp;dst=100181" TargetMode = "External"/>
	<Relationship Id="rId93" Type="http://schemas.openxmlformats.org/officeDocument/2006/relationships/hyperlink" Target="https://login.consultant.ru/link/?req=doc&amp;base=LAW&amp;n=476401&amp;dst=100182" TargetMode = "External"/>
	<Relationship Id="rId94" Type="http://schemas.openxmlformats.org/officeDocument/2006/relationships/hyperlink" Target="https://login.consultant.ru/link/?req=doc&amp;base=LAW&amp;n=476401&amp;dst=100184" TargetMode = "External"/>
	<Relationship Id="rId95" Type="http://schemas.openxmlformats.org/officeDocument/2006/relationships/hyperlink" Target="https://login.consultant.ru/link/?req=doc&amp;base=LAW&amp;n=476401&amp;dst=100185" TargetMode = "External"/>
	<Relationship Id="rId96" Type="http://schemas.openxmlformats.org/officeDocument/2006/relationships/hyperlink" Target="https://login.consultant.ru/link/?req=doc&amp;base=LAW&amp;n=476401&amp;dst=100186" TargetMode = "External"/>
	<Relationship Id="rId97" Type="http://schemas.openxmlformats.org/officeDocument/2006/relationships/hyperlink" Target="https://login.consultant.ru/link/?req=doc&amp;base=LAW&amp;n=476401&amp;dst=100188" TargetMode = "External"/>
	<Relationship Id="rId98" Type="http://schemas.openxmlformats.org/officeDocument/2006/relationships/hyperlink" Target="https://login.consultant.ru/link/?req=doc&amp;base=LAW&amp;n=476401&amp;dst=100189" TargetMode = "External"/>
	<Relationship Id="rId99" Type="http://schemas.openxmlformats.org/officeDocument/2006/relationships/hyperlink" Target="https://login.consultant.ru/link/?req=doc&amp;base=LAW&amp;n=476401&amp;dst=100190" TargetMode = "External"/>
	<Relationship Id="rId100" Type="http://schemas.openxmlformats.org/officeDocument/2006/relationships/hyperlink" Target="https://login.consultant.ru/link/?req=doc&amp;base=LAW&amp;n=476401&amp;dst=100192" TargetMode = "External"/>
	<Relationship Id="rId101" Type="http://schemas.openxmlformats.org/officeDocument/2006/relationships/hyperlink" Target="https://login.consultant.ru/link/?req=doc&amp;base=LAW&amp;n=476401&amp;dst=100193" TargetMode = "External"/>
	<Relationship Id="rId102" Type="http://schemas.openxmlformats.org/officeDocument/2006/relationships/hyperlink" Target="https://login.consultant.ru/link/?req=doc&amp;base=LAW&amp;n=476401&amp;dst=100194" TargetMode = "External"/>
	<Relationship Id="rId103" Type="http://schemas.openxmlformats.org/officeDocument/2006/relationships/hyperlink" Target="https://login.consultant.ru/link/?req=doc&amp;base=LAW&amp;n=476401&amp;dst=100197" TargetMode = "External"/>
	<Relationship Id="rId104" Type="http://schemas.openxmlformats.org/officeDocument/2006/relationships/hyperlink" Target="https://login.consultant.ru/link/?req=doc&amp;base=LAW&amp;n=476401&amp;dst=100199" TargetMode = "External"/>
	<Relationship Id="rId105" Type="http://schemas.openxmlformats.org/officeDocument/2006/relationships/hyperlink" Target="https://login.consultant.ru/link/?req=doc&amp;base=LAW&amp;n=476401&amp;dst=100200" TargetMode = "External"/>
	<Relationship Id="rId106" Type="http://schemas.openxmlformats.org/officeDocument/2006/relationships/hyperlink" Target="https://login.consultant.ru/link/?req=doc&amp;base=LAW&amp;n=476401&amp;dst=100202" TargetMode = "External"/>
	<Relationship Id="rId107" Type="http://schemas.openxmlformats.org/officeDocument/2006/relationships/hyperlink" Target="https://login.consultant.ru/link/?req=doc&amp;base=LAW&amp;n=476401&amp;dst=100202" TargetMode = "External"/>
	<Relationship Id="rId108" Type="http://schemas.openxmlformats.org/officeDocument/2006/relationships/hyperlink" Target="https://login.consultant.ru/link/?req=doc&amp;base=EXP&amp;n=763941" TargetMode = "External"/>
	<Relationship Id="rId109" Type="http://schemas.openxmlformats.org/officeDocument/2006/relationships/hyperlink" Target="https://login.consultant.ru/link/?req=doc&amp;base=LAW&amp;n=476401&amp;dst=100203" TargetMode = "External"/>
	<Relationship Id="rId110" Type="http://schemas.openxmlformats.org/officeDocument/2006/relationships/hyperlink" Target="https://login.consultant.ru/link/?req=doc&amp;base=LAW&amp;n=476401&amp;dst=100205" TargetMode = "External"/>
	<Relationship Id="rId111" Type="http://schemas.openxmlformats.org/officeDocument/2006/relationships/hyperlink" Target="https://login.consultant.ru/link/?req=doc&amp;base=LAW&amp;n=476401&amp;dst=100206" TargetMode = "External"/>
	<Relationship Id="rId112" Type="http://schemas.openxmlformats.org/officeDocument/2006/relationships/hyperlink" Target="https://login.consultant.ru/link/?req=doc&amp;base=LAW&amp;n=476401&amp;dst=100206" TargetMode = "External"/>
	<Relationship Id="rId113" Type="http://schemas.openxmlformats.org/officeDocument/2006/relationships/hyperlink" Target="https://login.consultant.ru/link/?req=doc&amp;base=LAW&amp;n=476401&amp;dst=100206" TargetMode = "External"/>
	<Relationship Id="rId114" Type="http://schemas.openxmlformats.org/officeDocument/2006/relationships/hyperlink" Target="https://login.consultant.ru/link/?req=doc&amp;base=LAW&amp;n=476401&amp;dst=100207" TargetMode = "External"/>
	<Relationship Id="rId115" Type="http://schemas.openxmlformats.org/officeDocument/2006/relationships/hyperlink" Target="https://login.consultant.ru/link/?req=doc&amp;base=LAW&amp;n=476401&amp;dst=100208" TargetMode = "External"/>
	<Relationship Id="rId116" Type="http://schemas.openxmlformats.org/officeDocument/2006/relationships/hyperlink" Target="https://login.consultant.ru/link/?req=doc&amp;base=LAW&amp;n=476401&amp;dst=100209" TargetMode = "External"/>
	<Relationship Id="rId117" Type="http://schemas.openxmlformats.org/officeDocument/2006/relationships/hyperlink" Target="https://login.consultant.ru/link/?req=doc&amp;base=EXP&amp;n=763941" TargetMode = "External"/>
	<Relationship Id="rId118" Type="http://schemas.openxmlformats.org/officeDocument/2006/relationships/hyperlink" Target="https://login.consultant.ru/link/?req=doc&amp;base=LAW&amp;n=476401&amp;dst=100210" TargetMode = "External"/>
	<Relationship Id="rId119" Type="http://schemas.openxmlformats.org/officeDocument/2006/relationships/hyperlink" Target="https://login.consultant.ru/link/?req=doc&amp;base=LAW&amp;n=476401&amp;dst=100212" TargetMode = "External"/>
	<Relationship Id="rId120" Type="http://schemas.openxmlformats.org/officeDocument/2006/relationships/hyperlink" Target="https://login.consultant.ru/link/?req=doc&amp;base=LAW&amp;n=476401&amp;dst=100213" TargetMode = "External"/>
	<Relationship Id="rId121" Type="http://schemas.openxmlformats.org/officeDocument/2006/relationships/hyperlink" Target="https://login.consultant.ru/link/?req=doc&amp;base=LAW&amp;n=476401&amp;dst=100215" TargetMode = "External"/>
	<Relationship Id="rId122" Type="http://schemas.openxmlformats.org/officeDocument/2006/relationships/hyperlink" Target="https://login.consultant.ru/link/?req=doc&amp;base=LAW&amp;n=476401&amp;dst=100217" TargetMode = "External"/>
	<Relationship Id="rId123" Type="http://schemas.openxmlformats.org/officeDocument/2006/relationships/hyperlink" Target="https://login.consultant.ru/link/?req=doc&amp;base=LAW&amp;n=476401&amp;dst=100221" TargetMode = "External"/>
	<Relationship Id="rId124" Type="http://schemas.openxmlformats.org/officeDocument/2006/relationships/hyperlink" Target="https://login.consultant.ru/link/?req=doc&amp;base=LAW&amp;n=476401&amp;dst=100222" TargetMode = "External"/>
	<Relationship Id="rId125" Type="http://schemas.openxmlformats.org/officeDocument/2006/relationships/hyperlink" Target="https://login.consultant.ru/link/?req=doc&amp;base=LAW&amp;n=476401&amp;dst=100223" TargetMode = "External"/>
	<Relationship Id="rId126" Type="http://schemas.openxmlformats.org/officeDocument/2006/relationships/hyperlink" Target="https://login.consultant.ru/link/?req=doc&amp;base=EXP&amp;n=763941" TargetMode = "External"/>
	<Relationship Id="rId127" Type="http://schemas.openxmlformats.org/officeDocument/2006/relationships/hyperlink" Target="https://login.consultant.ru/link/?req=doc&amp;base=LAW&amp;n=476401&amp;dst=100225" TargetMode = "External"/>
	<Relationship Id="rId128" Type="http://schemas.openxmlformats.org/officeDocument/2006/relationships/hyperlink" Target="https://login.consultant.ru/link/?req=doc&amp;base=LAW&amp;n=476401&amp;dst=100226" TargetMode = "External"/>
	<Relationship Id="rId129" Type="http://schemas.openxmlformats.org/officeDocument/2006/relationships/hyperlink" Target="https://login.consultant.ru/link/?req=doc&amp;base=LAW&amp;n=476401&amp;dst=100227" TargetMode = "External"/>
	<Relationship Id="rId130" Type="http://schemas.openxmlformats.org/officeDocument/2006/relationships/image" Target="media/image4.wmf"/>
	<Relationship Id="rId131" Type="http://schemas.openxmlformats.org/officeDocument/2006/relationships/hyperlink" Target="https://login.consultant.ru/link/?req=doc&amp;base=LAW&amp;n=476401&amp;dst=100228" TargetMode = "External"/>
	<Relationship Id="rId132" Type="http://schemas.openxmlformats.org/officeDocument/2006/relationships/hyperlink" Target="https://login.consultant.ru/link/?req=doc&amp;base=LAW&amp;n=476401&amp;dst=100229" TargetMode = "External"/>
	<Relationship Id="rId133" Type="http://schemas.openxmlformats.org/officeDocument/2006/relationships/hyperlink" Target="https://login.consultant.ru/link/?req=doc&amp;base=LAW&amp;n=476401&amp;dst=100230" TargetMode = "External"/>
	<Relationship Id="rId134" Type="http://schemas.openxmlformats.org/officeDocument/2006/relationships/hyperlink" Target="https://login.consultant.ru/link/?req=doc&amp;base=LAW&amp;n=476401&amp;dst=100231" TargetMode = "External"/>
	<Relationship Id="rId135" Type="http://schemas.openxmlformats.org/officeDocument/2006/relationships/hyperlink" Target="https://login.consultant.ru/link/?req=doc&amp;base=LAW&amp;n=476401&amp;dst=100233" TargetMode = "External"/>
	<Relationship Id="rId136" Type="http://schemas.openxmlformats.org/officeDocument/2006/relationships/hyperlink" Target="https://login.consultant.ru/link/?req=doc&amp;base=LAW&amp;n=476401&amp;dst=100234" TargetMode = "External"/>
	<Relationship Id="rId137" Type="http://schemas.openxmlformats.org/officeDocument/2006/relationships/hyperlink" Target="https://login.consultant.ru/link/?req=doc&amp;base=LAW&amp;n=476401&amp;dst=100235" TargetMode = "External"/>
	<Relationship Id="rId138" Type="http://schemas.openxmlformats.org/officeDocument/2006/relationships/hyperlink" Target="https://login.consultant.ru/link/?req=doc&amp;base=LAW&amp;n=476401&amp;dst=100236" TargetMode = "External"/>
	<Relationship Id="rId139" Type="http://schemas.openxmlformats.org/officeDocument/2006/relationships/hyperlink" Target="https://login.consultant.ru/link/?req=doc&amp;base=LAW&amp;n=476401&amp;dst=100237" TargetMode = "External"/>
	<Relationship Id="rId140" Type="http://schemas.openxmlformats.org/officeDocument/2006/relationships/hyperlink" Target="https://login.consultant.ru/link/?req=doc&amp;base=LAW&amp;n=476401&amp;dst=100238" TargetMode = "External"/>
	<Relationship Id="rId141" Type="http://schemas.openxmlformats.org/officeDocument/2006/relationships/hyperlink" Target="https://login.consultant.ru/link/?req=doc&amp;base=LAW&amp;n=476401&amp;dst=100239" TargetMode = "External"/>
	<Relationship Id="rId142" Type="http://schemas.openxmlformats.org/officeDocument/2006/relationships/hyperlink" Target="https://login.consultant.ru/link/?req=doc&amp;base=LAW&amp;n=476401&amp;dst=100241" TargetMode = "External"/>
	<Relationship Id="rId143" Type="http://schemas.openxmlformats.org/officeDocument/2006/relationships/hyperlink" Target="https://login.consultant.ru/link/?req=doc&amp;base=LAW&amp;n=476401&amp;dst=100242" TargetMode = "External"/>
	<Relationship Id="rId144" Type="http://schemas.openxmlformats.org/officeDocument/2006/relationships/hyperlink" Target="https://login.consultant.ru/link/?req=doc&amp;base=LAW&amp;n=476401&amp;dst=100246" TargetMode = "External"/>
	<Relationship Id="rId145" Type="http://schemas.openxmlformats.org/officeDocument/2006/relationships/hyperlink" Target="https://login.consultant.ru/link/?req=doc&amp;base=EXP&amp;n=763941" TargetMode = "External"/>
	<Relationship Id="rId146" Type="http://schemas.openxmlformats.org/officeDocument/2006/relationships/hyperlink" Target="https://login.consultant.ru/link/?req=doc&amp;base=LAW&amp;n=476401&amp;dst=100249" TargetMode = "External"/>
	<Relationship Id="rId147" Type="http://schemas.openxmlformats.org/officeDocument/2006/relationships/hyperlink" Target="https://login.consultant.ru/link/?req=doc&amp;base=LAW&amp;n=476401&amp;dst=100250" TargetMode = "External"/>
	<Relationship Id="rId148" Type="http://schemas.openxmlformats.org/officeDocument/2006/relationships/hyperlink" Target="https://login.consultant.ru/link/?req=doc&amp;base=LAW&amp;n=476401&amp;dst=100252" TargetMode = "External"/>
	<Relationship Id="rId149" Type="http://schemas.openxmlformats.org/officeDocument/2006/relationships/image" Target="media/image5.wmf"/>
	<Relationship Id="rId150" Type="http://schemas.openxmlformats.org/officeDocument/2006/relationships/hyperlink" Target="https://login.consultant.ru/link/?req=doc&amp;base=LAW&amp;n=476401&amp;dst=100253" TargetMode = "External"/>
	<Relationship Id="rId151" Type="http://schemas.openxmlformats.org/officeDocument/2006/relationships/hyperlink" Target="https://login.consultant.ru/link/?req=doc&amp;base=LAW&amp;n=476401&amp;dst=100254" TargetMode = "External"/>
	<Relationship Id="rId152" Type="http://schemas.openxmlformats.org/officeDocument/2006/relationships/hyperlink" Target="https://login.consultant.ru/link/?req=doc&amp;base=LAW&amp;n=476401&amp;dst=100256" TargetMode = "External"/>
	<Relationship Id="rId153" Type="http://schemas.openxmlformats.org/officeDocument/2006/relationships/hyperlink" Target="https://login.consultant.ru/link/?req=doc&amp;base=LAW&amp;n=476401&amp;dst=100257" TargetMode = "External"/>
	<Relationship Id="rId154" Type="http://schemas.openxmlformats.org/officeDocument/2006/relationships/hyperlink" Target="https://login.consultant.ru/link/?req=doc&amp;base=LAW&amp;n=476401&amp;dst=100259" TargetMode = "External"/>
	<Relationship Id="rId155" Type="http://schemas.openxmlformats.org/officeDocument/2006/relationships/hyperlink" Target="https://login.consultant.ru/link/?req=doc&amp;base=LAW&amp;n=476401&amp;dst=100261" TargetMode = "External"/>
	<Relationship Id="rId156" Type="http://schemas.openxmlformats.org/officeDocument/2006/relationships/hyperlink" Target="https://login.consultant.ru/link/?req=doc&amp;base=LAW&amp;n=476401&amp;dst=100262" TargetMode = "External"/>
	<Relationship Id="rId157" Type="http://schemas.openxmlformats.org/officeDocument/2006/relationships/hyperlink" Target="https://login.consultant.ru/link/?req=doc&amp;base=LAW&amp;n=476401&amp;dst=100264" TargetMode = "External"/>
	<Relationship Id="rId158" Type="http://schemas.openxmlformats.org/officeDocument/2006/relationships/hyperlink" Target="https://login.consultant.ru/link/?req=doc&amp;base=LAW&amp;n=476401&amp;dst=100265" TargetMode = "External"/>
	<Relationship Id="rId159" Type="http://schemas.openxmlformats.org/officeDocument/2006/relationships/hyperlink" Target="https://login.consultant.ru/link/?req=doc&amp;base=LAW&amp;n=476401&amp;dst=100265" TargetMode = "External"/>
	<Relationship Id="rId160" Type="http://schemas.openxmlformats.org/officeDocument/2006/relationships/hyperlink" Target="https://login.consultant.ru/link/?req=doc&amp;base=LAW&amp;n=476401&amp;dst=100265" TargetMode = "External"/>
	<Relationship Id="rId161" Type="http://schemas.openxmlformats.org/officeDocument/2006/relationships/hyperlink" Target="https://login.consultant.ru/link/?req=doc&amp;base=LAW&amp;n=476401&amp;dst=100266" TargetMode = "External"/>
	<Relationship Id="rId162" Type="http://schemas.openxmlformats.org/officeDocument/2006/relationships/hyperlink" Target="https://login.consultant.ru/link/?req=doc&amp;base=LAW&amp;n=476401&amp;dst=100267" TargetMode = "External"/>
	<Relationship Id="rId163" Type="http://schemas.openxmlformats.org/officeDocument/2006/relationships/hyperlink" Target="https://login.consultant.ru/link/?req=doc&amp;base=LAW&amp;n=476401&amp;dst=100268" TargetMode = "External"/>
	<Relationship Id="rId164" Type="http://schemas.openxmlformats.org/officeDocument/2006/relationships/hyperlink" Target="https://login.consultant.ru/link/?req=doc&amp;base=LAW&amp;n=476401&amp;dst=100269" TargetMode = "External"/>
	<Relationship Id="rId165" Type="http://schemas.openxmlformats.org/officeDocument/2006/relationships/hyperlink" Target="https://login.consultant.ru/link/?req=doc&amp;base=LAW&amp;n=476401&amp;dst=100270" TargetMode = "External"/>
	<Relationship Id="rId166" Type="http://schemas.openxmlformats.org/officeDocument/2006/relationships/hyperlink" Target="https://login.consultant.ru/link/?req=doc&amp;base=LAW&amp;n=476401&amp;dst=100272" TargetMode = "External"/>
	<Relationship Id="rId167" Type="http://schemas.openxmlformats.org/officeDocument/2006/relationships/hyperlink" Target="https://login.consultant.ru/link/?req=doc&amp;base=LAW&amp;n=476401&amp;dst=100273" TargetMode = "External"/>
	<Relationship Id="rId168" Type="http://schemas.openxmlformats.org/officeDocument/2006/relationships/hyperlink" Target="https://login.consultant.ru/link/?req=doc&amp;base=LAW&amp;n=476401&amp;dst=100277" TargetMode = "External"/>
	<Relationship Id="rId169" Type="http://schemas.openxmlformats.org/officeDocument/2006/relationships/hyperlink" Target="https://login.consultant.ru/link/?req=doc&amp;base=LAW&amp;n=476401&amp;dst=100280" TargetMode = "External"/>
	<Relationship Id="rId170" Type="http://schemas.openxmlformats.org/officeDocument/2006/relationships/hyperlink" Target="https://login.consultant.ru/link/?req=doc&amp;base=LAW&amp;n=476401&amp;dst=100281" TargetMode = "External"/>
	<Relationship Id="rId171" Type="http://schemas.openxmlformats.org/officeDocument/2006/relationships/hyperlink" Target="https://login.consultant.ru/link/?req=doc&amp;base=EXP&amp;n=763941" TargetMode = "External"/>
	<Relationship Id="rId172" Type="http://schemas.openxmlformats.org/officeDocument/2006/relationships/hyperlink" Target="https://login.consultant.ru/link/?req=doc&amp;base=EXP&amp;n=763941" TargetMode = "External"/>
	<Relationship Id="rId173" Type="http://schemas.openxmlformats.org/officeDocument/2006/relationships/hyperlink" Target="https://login.consultant.ru/link/?req=doc&amp;base=EXP&amp;n=763941" TargetMode = "External"/>
	<Relationship Id="rId174" Type="http://schemas.openxmlformats.org/officeDocument/2006/relationships/hyperlink" Target="https://login.consultant.ru/link/?req=doc&amp;base=EXP&amp;n=763941" TargetMode = "External"/>
	<Relationship Id="rId175" Type="http://schemas.openxmlformats.org/officeDocument/2006/relationships/hyperlink" Target="https://login.consultant.ru/link/?req=doc&amp;base=EXP&amp;n=763941" TargetMode = "External"/>
	<Relationship Id="rId176" Type="http://schemas.openxmlformats.org/officeDocument/2006/relationships/hyperlink" Target="https://login.consultant.ru/link/?req=doc&amp;base=EXP&amp;n=763941" TargetMode = "External"/>
	<Relationship Id="rId177" Type="http://schemas.openxmlformats.org/officeDocument/2006/relationships/hyperlink" Target="https://login.consultant.ru/link/?req=doc&amp;base=EXP&amp;n=763941" TargetMode = "External"/>
	<Relationship Id="rId178" Type="http://schemas.openxmlformats.org/officeDocument/2006/relationships/hyperlink" Target="https://login.consultant.ru/link/?req=doc&amp;base=LAW&amp;n=476401&amp;dst=100283" TargetMode = "External"/>
	<Relationship Id="rId179" Type="http://schemas.openxmlformats.org/officeDocument/2006/relationships/hyperlink" Target="https://login.consultant.ru/link/?req=doc&amp;base=LAW&amp;n=476401&amp;dst=100284" TargetMode = "External"/>
	<Relationship Id="rId180" Type="http://schemas.openxmlformats.org/officeDocument/2006/relationships/hyperlink" Target="https://login.consultant.ru/link/?req=doc&amp;base=LAW&amp;n=511304&amp;dst=100198" TargetMode = "External"/>
	<Relationship Id="rId181" Type="http://schemas.openxmlformats.org/officeDocument/2006/relationships/hyperlink" Target="https://login.consultant.ru/link/?req=doc&amp;base=LAW&amp;n=476401&amp;dst=100285" TargetMode = "External"/>
	<Relationship Id="rId182" Type="http://schemas.openxmlformats.org/officeDocument/2006/relationships/hyperlink" Target="https://login.consultant.ru/link/?req=doc&amp;base=LAW&amp;n=499925&amp;dst=100743" TargetMode = "External"/>
	<Relationship Id="rId183" Type="http://schemas.openxmlformats.org/officeDocument/2006/relationships/hyperlink" Target="https://login.consultant.ru/link/?req=doc&amp;base=LAW&amp;n=476401&amp;dst=100286" TargetMode = "External"/>
	<Relationship Id="rId184" Type="http://schemas.openxmlformats.org/officeDocument/2006/relationships/hyperlink" Target="https://login.consultant.ru/link/?req=doc&amp;base=LAW&amp;n=476401&amp;dst=100287" TargetMode = "External"/>
	<Relationship Id="rId185" Type="http://schemas.openxmlformats.org/officeDocument/2006/relationships/hyperlink" Target="https://login.consultant.ru/link/?req=doc&amp;base=LAW&amp;n=476401&amp;dst=100287" TargetMode = "External"/>
	<Relationship Id="rId186" Type="http://schemas.openxmlformats.org/officeDocument/2006/relationships/hyperlink" Target="https://login.consultant.ru/link/?req=doc&amp;base=LAW&amp;n=476401&amp;dst=100288" TargetMode = "External"/>
	<Relationship Id="rId187" Type="http://schemas.openxmlformats.org/officeDocument/2006/relationships/hyperlink" Target="https://login.consultant.ru/link/?req=doc&amp;base=LAW&amp;n=476401&amp;dst=100290" TargetMode = "External"/>
	<Relationship Id="rId188" Type="http://schemas.openxmlformats.org/officeDocument/2006/relationships/hyperlink" Target="https://login.consultant.ru/link/?req=doc&amp;base=LAW&amp;n=476401&amp;dst=100292" TargetMode = "External"/>
	<Relationship Id="rId189" Type="http://schemas.openxmlformats.org/officeDocument/2006/relationships/hyperlink" Target="https://login.consultant.ru/link/?req=doc&amp;base=LAW&amp;n=511304&amp;dst=23" TargetMode = "External"/>
	<Relationship Id="rId190" Type="http://schemas.openxmlformats.org/officeDocument/2006/relationships/hyperlink" Target="https://login.consultant.ru/link/?req=doc&amp;base=LAW&amp;n=502639&amp;dst=632" TargetMode = "External"/>
	<Relationship Id="rId191" Type="http://schemas.openxmlformats.org/officeDocument/2006/relationships/hyperlink" Target="https://login.consultant.ru/link/?req=doc&amp;base=LAW&amp;n=502639&amp;dst=633" TargetMode = "External"/>
	<Relationship Id="rId192" Type="http://schemas.openxmlformats.org/officeDocument/2006/relationships/hyperlink" Target="https://login.consultant.ru/link/?req=doc&amp;base=LAW&amp;n=502639&amp;dst=11" TargetMode = "External"/>
	<Relationship Id="rId193" Type="http://schemas.openxmlformats.org/officeDocument/2006/relationships/hyperlink" Target="https://login.consultant.ru/link/?req=doc&amp;base=LAW&amp;n=502639&amp;dst=100718" TargetMode = "External"/>
	<Relationship Id="rId194" Type="http://schemas.openxmlformats.org/officeDocument/2006/relationships/hyperlink" Target="https://login.consultant.ru/link/?req=doc&amp;base=LAW&amp;n=476401&amp;dst=100293" TargetMode = "External"/>
	<Relationship Id="rId195" Type="http://schemas.openxmlformats.org/officeDocument/2006/relationships/hyperlink" Target="https://login.consultant.ru/link/?req=doc&amp;base=LAW&amp;n=476401&amp;dst=100317" TargetMode = "External"/>
	<Relationship Id="rId196" Type="http://schemas.openxmlformats.org/officeDocument/2006/relationships/hyperlink" Target="https://login.consultant.ru/link/?req=doc&amp;base=LAW&amp;n=511304&amp;dst=100080" TargetMode = "External"/>
	<Relationship Id="rId197" Type="http://schemas.openxmlformats.org/officeDocument/2006/relationships/hyperlink" Target="https://login.consultant.ru/link/?req=doc&amp;base=LAW&amp;n=476401&amp;dst=100324" TargetMode = "External"/>
	<Relationship Id="rId198" Type="http://schemas.openxmlformats.org/officeDocument/2006/relationships/hyperlink" Target="https://login.consultant.ru/link/?req=doc&amp;base=LAW&amp;n=476401&amp;dst=100341" TargetMode = "External"/>
	<Relationship Id="rId199" Type="http://schemas.openxmlformats.org/officeDocument/2006/relationships/hyperlink" Target="https://login.consultant.ru/link/?req=doc&amp;base=LAW&amp;n=476401&amp;dst=100346" TargetMode = "External"/>
	<Relationship Id="rId200" Type="http://schemas.openxmlformats.org/officeDocument/2006/relationships/hyperlink" Target="https://login.consultant.ru/link/?req=doc&amp;base=LAW&amp;n=476401&amp;dst=100356" TargetMode = "External"/>
	<Relationship Id="rId201" Type="http://schemas.openxmlformats.org/officeDocument/2006/relationships/hyperlink" Target="https://login.consultant.ru/link/?req=doc&amp;base=LAW&amp;n=476401&amp;dst=100357" TargetMode = "External"/>
	<Relationship Id="rId202" Type="http://schemas.openxmlformats.org/officeDocument/2006/relationships/hyperlink" Target="https://login.consultant.ru/link/?req=doc&amp;base=LAW&amp;n=476401&amp;dst=100358" TargetMode = "External"/>
	<Relationship Id="rId203" Type="http://schemas.openxmlformats.org/officeDocument/2006/relationships/hyperlink" Target="https://login.consultant.ru/link/?req=doc&amp;base=LAW&amp;n=476401&amp;dst=100359" TargetMode = "External"/>
	<Relationship Id="rId204" Type="http://schemas.openxmlformats.org/officeDocument/2006/relationships/hyperlink" Target="https://login.consultant.ru/link/?req=doc&amp;base=LAW&amp;n=502639&amp;dst=100685" TargetMode = "External"/>
	<Relationship Id="rId205" Type="http://schemas.openxmlformats.org/officeDocument/2006/relationships/hyperlink" Target="https://login.consultant.ru/link/?req=doc&amp;base=LAW&amp;n=502639&amp;dst=101075" TargetMode = "External"/>
	<Relationship Id="rId206" Type="http://schemas.openxmlformats.org/officeDocument/2006/relationships/hyperlink" Target="https://login.consultant.ru/link/?req=doc&amp;base=LAW&amp;n=476401&amp;dst=100362" TargetMode = "External"/>
	<Relationship Id="rId207" Type="http://schemas.openxmlformats.org/officeDocument/2006/relationships/hyperlink" Target="https://login.consultant.ru/link/?req=doc&amp;base=LAW&amp;n=476401&amp;dst=100363" TargetMode = "External"/>
	<Relationship Id="rId208" Type="http://schemas.openxmlformats.org/officeDocument/2006/relationships/hyperlink" Target="https://login.consultant.ru/link/?req=doc&amp;base=LAW&amp;n=513476" TargetMode = "External"/>
	<Relationship Id="rId209" Type="http://schemas.openxmlformats.org/officeDocument/2006/relationships/hyperlink" Target="https://login.consultant.ru/link/?req=doc&amp;base=LAW&amp;n=513476&amp;dst=100007" TargetMode = "External"/>
	<Relationship Id="rId210" Type="http://schemas.openxmlformats.org/officeDocument/2006/relationships/hyperlink" Target="https://login.consultant.ru/link/?req=doc&amp;base=LAW&amp;n=476401&amp;dst=100365" TargetMode = "External"/>
	<Relationship Id="rId211" Type="http://schemas.openxmlformats.org/officeDocument/2006/relationships/hyperlink" Target="https://login.consultant.ru/link/?req=doc&amp;base=LAW&amp;n=502639&amp;dst=100713" TargetMode = "External"/>
	<Relationship Id="rId212" Type="http://schemas.openxmlformats.org/officeDocument/2006/relationships/hyperlink" Target="https://login.consultant.ru/link/?req=doc&amp;base=LAW&amp;n=476401&amp;dst=100367"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России от 10.12.2021 N 437
(ред. от 16.04.2024)
"Об утверждении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dc:title>
  <dcterms:created xsi:type="dcterms:W3CDTF">2025-09-24T05:49:39Z</dcterms:created>
</cp:coreProperties>
</file>